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54E" w:rsidRDefault="0013254E" w:rsidP="0013254E">
      <w:pPr>
        <w:rPr>
          <w:rFonts w:hint="cs"/>
          <w:rtl/>
        </w:rPr>
      </w:pPr>
      <w:bookmarkStart w:id="0" w:name="_GoBack"/>
      <w:bookmarkEnd w:id="0"/>
    </w:p>
    <w:tbl>
      <w:tblPr>
        <w:tblStyle w:val="ad"/>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5571"/>
      </w:tblGrid>
      <w:tr w:rsidR="0013254E" w:rsidTr="00AB374E">
        <w:trPr>
          <w:jc w:val="center"/>
        </w:trPr>
        <w:sdt>
          <w:sdtPr>
            <w:rPr>
              <w:rFonts w:ascii="Arial" w:hAnsi="Arial"/>
              <w:b/>
              <w:bCs/>
              <w:noProof w:val="0"/>
              <w:sz w:val="26"/>
              <w:szCs w:val="26"/>
            </w:rPr>
            <w:alias w:val="1180"/>
            <w:tag w:val="1180"/>
            <w:id w:val="108787784"/>
            <w:placeholder>
              <w:docPart w:val="674602D278F64E5C92AAD4E545A57B80"/>
            </w:placeholder>
            <w:text w:multiLine="1"/>
          </w:sdtPr>
          <w:sdtEndPr/>
          <w:sdtContent>
            <w:tc>
              <w:tcPr>
                <w:tcW w:w="3249" w:type="dxa"/>
              </w:tcPr>
              <w:p w:rsidR="0013254E" w:rsidRPr="005D5781" w:rsidRDefault="0013254E" w:rsidP="00AB374E">
                <w:pPr>
                  <w:bidi w:val="0"/>
                  <w:jc w:val="right"/>
                  <w:rPr>
                    <w:rFonts w:ascii="Arial" w:hAnsi="Arial"/>
                    <w:b/>
                    <w:bCs/>
                    <w:noProof w:val="0"/>
                    <w:sz w:val="26"/>
                    <w:szCs w:val="26"/>
                    <w:rtl/>
                  </w:rPr>
                </w:pPr>
                <w:r w:rsidRPr="005D5781">
                  <w:rPr>
                    <w:rFonts w:ascii="Arial" w:hAnsi="Arial" w:hint="cs"/>
                    <w:b/>
                    <w:bCs/>
                    <w:noProof w:val="0"/>
                    <w:sz w:val="26"/>
                    <w:szCs w:val="26"/>
                    <w:rtl/>
                  </w:rPr>
                  <w:t>התובע:</w:t>
                </w:r>
              </w:p>
            </w:tc>
          </w:sdtContent>
        </w:sdt>
        <w:tc>
          <w:tcPr>
            <w:tcW w:w="5571" w:type="dxa"/>
          </w:tcPr>
          <w:p w:rsidR="0013254E" w:rsidRPr="005D5781" w:rsidRDefault="00C86440" w:rsidP="003910EA">
            <w:pPr>
              <w:rPr>
                <w:b/>
                <w:bCs/>
                <w:noProof w:val="0"/>
                <w:sz w:val="26"/>
                <w:szCs w:val="26"/>
                <w:rtl/>
              </w:rPr>
            </w:pPr>
            <w:sdt>
              <w:sdtPr>
                <w:rPr>
                  <w:rFonts w:hint="cs"/>
                  <w:b/>
                  <w:bCs/>
                  <w:noProof w:val="0"/>
                  <w:sz w:val="26"/>
                  <w:szCs w:val="26"/>
                  <w:rtl/>
                </w:rPr>
                <w:alias w:val="1478"/>
                <w:tag w:val="1478"/>
                <w:id w:val="614022805"/>
                <w:text w:multiLine="1"/>
              </w:sdtPr>
              <w:sdtEndPr/>
              <w:sdtContent>
                <w:r w:rsidR="003910EA">
                  <w:rPr>
                    <w:rStyle w:val="af0"/>
                    <w:b/>
                    <w:bCs/>
                    <w:sz w:val="26"/>
                    <w:szCs w:val="26"/>
                    <w:rtl/>
                  </w:rPr>
                  <w:t>ש</w:t>
                </w:r>
                <w:r w:rsidR="003910EA">
                  <w:rPr>
                    <w:rStyle w:val="af0"/>
                    <w:rFonts w:hint="cs"/>
                    <w:b/>
                    <w:bCs/>
                    <w:sz w:val="26"/>
                    <w:szCs w:val="26"/>
                    <w:rtl/>
                  </w:rPr>
                  <w:t>.</w:t>
                </w:r>
                <w:r w:rsidR="003910EA">
                  <w:rPr>
                    <w:rStyle w:val="af0"/>
                    <w:b/>
                    <w:bCs/>
                    <w:sz w:val="26"/>
                    <w:szCs w:val="26"/>
                    <w:rtl/>
                  </w:rPr>
                  <w:t xml:space="preserve"> מ</w:t>
                </w:r>
                <w:r w:rsidR="003910EA">
                  <w:rPr>
                    <w:rStyle w:val="af0"/>
                    <w:rFonts w:hint="cs"/>
                    <w:b/>
                    <w:bCs/>
                    <w:sz w:val="26"/>
                    <w:szCs w:val="26"/>
                    <w:rtl/>
                  </w:rPr>
                  <w:t>.</w:t>
                </w:r>
              </w:sdtContent>
            </w:sdt>
          </w:p>
          <w:p w:rsidR="0013254E" w:rsidRPr="005D5781" w:rsidRDefault="0013254E" w:rsidP="00AB374E">
            <w:pPr>
              <w:rPr>
                <w:noProof w:val="0"/>
                <w:sz w:val="26"/>
                <w:szCs w:val="26"/>
                <w:rtl/>
              </w:rPr>
            </w:pPr>
            <w:r w:rsidRPr="005D5781">
              <w:rPr>
                <w:rFonts w:hint="cs"/>
                <w:noProof w:val="0"/>
                <w:rtl/>
              </w:rPr>
              <w:t>על-ידי בא כוחו, עורך דין גיל מור</w:t>
            </w:r>
          </w:p>
        </w:tc>
      </w:tr>
      <w:tr w:rsidR="0013254E" w:rsidTr="00AB374E">
        <w:trPr>
          <w:jc w:val="center"/>
        </w:trPr>
        <w:tc>
          <w:tcPr>
            <w:tcW w:w="8820" w:type="dxa"/>
            <w:gridSpan w:val="2"/>
          </w:tcPr>
          <w:p w:rsidR="0013254E" w:rsidRPr="005D5781" w:rsidRDefault="0013254E" w:rsidP="00AB374E">
            <w:pPr>
              <w:rPr>
                <w:rFonts w:ascii="Arial" w:hAnsi="Arial"/>
                <w:b/>
                <w:bCs/>
                <w:noProof w:val="0"/>
                <w:sz w:val="26"/>
                <w:szCs w:val="26"/>
                <w:rtl/>
              </w:rPr>
            </w:pPr>
          </w:p>
          <w:p w:rsidR="0013254E" w:rsidRPr="005D5781" w:rsidRDefault="0013254E" w:rsidP="00AB374E">
            <w:pPr>
              <w:jc w:val="center"/>
              <w:rPr>
                <w:rFonts w:ascii="Arial" w:hAnsi="Arial"/>
                <w:b/>
                <w:bCs/>
                <w:noProof w:val="0"/>
                <w:sz w:val="26"/>
                <w:szCs w:val="26"/>
                <w:rtl/>
              </w:rPr>
            </w:pPr>
            <w:r w:rsidRPr="005D5781">
              <w:rPr>
                <w:rFonts w:ascii="Arial" w:hAnsi="Arial"/>
                <w:b/>
                <w:bCs/>
                <w:noProof w:val="0"/>
                <w:sz w:val="26"/>
                <w:szCs w:val="26"/>
                <w:rtl/>
              </w:rPr>
              <w:t>נגד</w:t>
            </w:r>
          </w:p>
          <w:p w:rsidR="0013254E" w:rsidRPr="005D5781" w:rsidRDefault="0013254E" w:rsidP="00AB374E">
            <w:pPr>
              <w:rPr>
                <w:rFonts w:ascii="Arial" w:hAnsi="Arial"/>
                <w:b/>
                <w:bCs/>
                <w:noProof w:val="0"/>
                <w:sz w:val="26"/>
                <w:szCs w:val="26"/>
              </w:rPr>
            </w:pPr>
          </w:p>
        </w:tc>
      </w:tr>
      <w:tr w:rsidR="0013254E" w:rsidTr="00AB374E">
        <w:trPr>
          <w:jc w:val="center"/>
        </w:trPr>
        <w:tc>
          <w:tcPr>
            <w:tcW w:w="3249" w:type="dxa"/>
          </w:tcPr>
          <w:p w:rsidR="0013254E" w:rsidRPr="005D5781" w:rsidRDefault="0013254E" w:rsidP="00AB374E">
            <w:pPr>
              <w:rPr>
                <w:rFonts w:ascii="Arial" w:hAnsi="Arial"/>
                <w:b/>
                <w:bCs/>
                <w:noProof w:val="0"/>
                <w:sz w:val="26"/>
                <w:szCs w:val="26"/>
              </w:rPr>
            </w:pPr>
            <w:r w:rsidRPr="005D5781">
              <w:rPr>
                <w:rFonts w:ascii="Arial" w:hAnsi="Arial" w:hint="cs"/>
                <w:b/>
                <w:bCs/>
                <w:noProof w:val="0"/>
                <w:sz w:val="26"/>
                <w:szCs w:val="26"/>
                <w:rtl/>
              </w:rPr>
              <w:t>הנתבע:</w:t>
            </w:r>
          </w:p>
        </w:tc>
        <w:tc>
          <w:tcPr>
            <w:tcW w:w="5571" w:type="dxa"/>
          </w:tcPr>
          <w:p w:rsidR="0013254E" w:rsidRPr="005D5781" w:rsidRDefault="00C86440" w:rsidP="003910EA">
            <w:pPr>
              <w:rPr>
                <w:b/>
                <w:bCs/>
                <w:noProof w:val="0"/>
                <w:sz w:val="26"/>
                <w:szCs w:val="26"/>
                <w:rtl/>
              </w:rPr>
            </w:pPr>
            <w:sdt>
              <w:sdtPr>
                <w:rPr>
                  <w:rFonts w:hint="cs"/>
                  <w:b/>
                  <w:bCs/>
                  <w:noProof w:val="0"/>
                  <w:sz w:val="26"/>
                  <w:szCs w:val="26"/>
                  <w:rtl/>
                </w:rPr>
                <w:alias w:val="1486"/>
                <w:tag w:val="1486"/>
                <w:id w:val="-1492704729"/>
                <w:text w:multiLine="1"/>
              </w:sdtPr>
              <w:sdtEndPr/>
              <w:sdtContent>
                <w:r w:rsidR="003910EA">
                  <w:rPr>
                    <w:rStyle w:val="af0"/>
                    <w:b/>
                    <w:bCs/>
                    <w:sz w:val="26"/>
                    <w:szCs w:val="26"/>
                    <w:rtl/>
                  </w:rPr>
                  <w:t>פ</w:t>
                </w:r>
                <w:r w:rsidR="003910EA">
                  <w:rPr>
                    <w:rStyle w:val="af0"/>
                    <w:rFonts w:hint="cs"/>
                    <w:b/>
                    <w:bCs/>
                    <w:sz w:val="26"/>
                    <w:szCs w:val="26"/>
                    <w:rtl/>
                  </w:rPr>
                  <w:t>.</w:t>
                </w:r>
                <w:r w:rsidR="003910EA">
                  <w:rPr>
                    <w:rStyle w:val="af0"/>
                    <w:b/>
                    <w:bCs/>
                    <w:sz w:val="26"/>
                    <w:szCs w:val="26"/>
                    <w:rtl/>
                  </w:rPr>
                  <w:t xml:space="preserve"> ה</w:t>
                </w:r>
                <w:r w:rsidR="003910EA">
                  <w:rPr>
                    <w:rStyle w:val="af0"/>
                    <w:rFonts w:hint="cs"/>
                    <w:b/>
                    <w:bCs/>
                    <w:sz w:val="26"/>
                    <w:szCs w:val="26"/>
                    <w:rtl/>
                  </w:rPr>
                  <w:t>.</w:t>
                </w:r>
                <w:r w:rsidR="003910EA">
                  <w:rPr>
                    <w:rStyle w:val="af0"/>
                    <w:b/>
                    <w:bCs/>
                    <w:sz w:val="26"/>
                    <w:szCs w:val="26"/>
                    <w:rtl/>
                  </w:rPr>
                  <w:t xml:space="preserve"> ט</w:t>
                </w:r>
                <w:r w:rsidR="003910EA">
                  <w:rPr>
                    <w:rStyle w:val="af0"/>
                    <w:rFonts w:hint="cs"/>
                    <w:b/>
                    <w:bCs/>
                    <w:sz w:val="26"/>
                    <w:szCs w:val="26"/>
                    <w:rtl/>
                  </w:rPr>
                  <w:t>.</w:t>
                </w:r>
              </w:sdtContent>
            </w:sdt>
          </w:p>
          <w:p w:rsidR="0013254E" w:rsidRPr="005D5781" w:rsidRDefault="0013254E" w:rsidP="00AB374E">
            <w:pPr>
              <w:rPr>
                <w:noProof w:val="0"/>
                <w:sz w:val="26"/>
                <w:szCs w:val="26"/>
                <w:rtl/>
              </w:rPr>
            </w:pPr>
            <w:r w:rsidRPr="005D5781">
              <w:rPr>
                <w:rFonts w:hint="cs"/>
                <w:noProof w:val="0"/>
                <w:rtl/>
              </w:rPr>
              <w:t>על-ידי באת כוחו, עורכת דין עינבר לב</w:t>
            </w:r>
          </w:p>
          <w:p w:rsidR="0013254E" w:rsidRPr="005D5781" w:rsidRDefault="0013254E" w:rsidP="00AB374E">
            <w:pPr>
              <w:rPr>
                <w:b/>
                <w:bCs/>
                <w:noProof w:val="0"/>
                <w:sz w:val="26"/>
                <w:szCs w:val="26"/>
                <w:rtl/>
              </w:rPr>
            </w:pPr>
          </w:p>
        </w:tc>
      </w:tr>
    </w:tbl>
    <w:p w:rsidR="0013254E" w:rsidRDefault="0013254E" w:rsidP="0013254E"/>
    <w:tbl>
      <w:tblPr>
        <w:tblStyle w:val="ad"/>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13254E" w:rsidTr="00AB374E">
        <w:trPr>
          <w:jc w:val="center"/>
        </w:trPr>
        <w:tc>
          <w:tcPr>
            <w:tcW w:w="8820" w:type="dxa"/>
          </w:tcPr>
          <w:p w:rsidR="0013254E" w:rsidRDefault="0013254E" w:rsidP="00AB374E">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13254E" w:rsidRDefault="0013254E" w:rsidP="0013254E">
      <w:pPr>
        <w:spacing w:line="360" w:lineRule="auto"/>
        <w:jc w:val="both"/>
        <w:rPr>
          <w:rFonts w:ascii="Arial" w:hAnsi="Arial"/>
          <w:noProof w:val="0"/>
          <w:rtl/>
        </w:rPr>
      </w:pPr>
    </w:p>
    <w:p w:rsidR="0013254E" w:rsidRPr="005D5781" w:rsidRDefault="0013254E" w:rsidP="0013254E">
      <w:pPr>
        <w:spacing w:line="360" w:lineRule="auto"/>
        <w:jc w:val="both"/>
        <w:rPr>
          <w:rFonts w:ascii="Arial" w:hAnsi="Arial"/>
          <w:b/>
          <w:bCs/>
          <w:noProof w:val="0"/>
          <w:u w:val="single"/>
          <w:rtl/>
        </w:rPr>
      </w:pPr>
      <w:r w:rsidRPr="005D5781">
        <w:rPr>
          <w:rFonts w:ascii="Arial" w:hAnsi="Arial" w:hint="cs"/>
          <w:b/>
          <w:bCs/>
          <w:noProof w:val="0"/>
          <w:u w:val="single"/>
          <w:rtl/>
        </w:rPr>
        <w:t>ההליך</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בפניי תובענה כספית ש</w:t>
      </w:r>
      <w:r w:rsidRPr="00D725AC">
        <w:rPr>
          <w:rFonts w:ascii="Arial" w:hAnsi="Arial"/>
          <w:noProof w:val="0"/>
          <w:rtl/>
        </w:rPr>
        <w:t>נִשּׁוּמָהּ</w:t>
      </w:r>
      <w:r>
        <w:rPr>
          <w:rFonts w:ascii="Arial" w:hAnsi="Arial" w:hint="cs"/>
          <w:noProof w:val="0"/>
          <w:rtl/>
        </w:rPr>
        <w:t xml:space="preserve"> בסך 350,000 ₪ והוגדרה במהותה כ"כספית".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 מסעיף 3.1 לכתב תביעתו, טען כי הנתבעת, אם בנו, נקטה ניכור הורי, וכי עצם קיומו של ניכור הורי, עוולה הוא, המצדיק מתן פיצוי כספי (לאמור תובענה מ"משפחת" דיני הנזיקין). </w:t>
      </w:r>
    </w:p>
    <w:p w:rsidR="0013254E" w:rsidRPr="00D725AC"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ואכן, מסעיף 3.2.8 לכתב התביעה הזכיר התובע את עוולת הפרת החובה החקוקה ואת עוולת הרשלנות. </w:t>
      </w:r>
    </w:p>
    <w:p w:rsidR="0013254E" w:rsidRPr="00D725AC"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מסעיף 3.3 עבר בעצם התובע לטענה חוזית, על דרך הפרת מה שכינה הפרת "החוזה המשפחתי" שבין הצדדים. </w:t>
      </w:r>
    </w:p>
    <w:p w:rsidR="0013254E" w:rsidRPr="00D725AC"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לשיטת התובע, משגרמה הנתבעת לניתוק הקשר בינו לבין בנו (וראה מסעיף 4 לכתב התביעה) זכאי הוא לתשלומים כדלקמן: </w:t>
      </w:r>
    </w:p>
    <w:p w:rsidR="0013254E" w:rsidRDefault="0013254E" w:rsidP="0013254E">
      <w:pPr>
        <w:pStyle w:val="af1"/>
        <w:numPr>
          <w:ilvl w:val="0"/>
          <w:numId w:val="2"/>
        </w:numPr>
        <w:spacing w:line="360" w:lineRule="auto"/>
        <w:ind w:left="567" w:hanging="567"/>
        <w:jc w:val="both"/>
        <w:rPr>
          <w:rFonts w:ascii="Arial" w:hAnsi="Arial"/>
          <w:noProof w:val="0"/>
        </w:rPr>
      </w:pPr>
      <w:r>
        <w:rPr>
          <w:rFonts w:ascii="Arial" w:hAnsi="Arial" w:hint="cs"/>
          <w:noProof w:val="0"/>
          <w:rtl/>
        </w:rPr>
        <w:t xml:space="preserve">פיצוי בגין "עוגמת נפש" </w:t>
      </w:r>
      <w:r>
        <w:rPr>
          <w:rFonts w:ascii="Arial" w:hAnsi="Arial"/>
          <w:noProof w:val="0"/>
          <w:rtl/>
        </w:rPr>
        <w:t>–</w:t>
      </w:r>
      <w:r>
        <w:rPr>
          <w:rFonts w:ascii="Arial" w:hAnsi="Arial" w:hint="cs"/>
          <w:noProof w:val="0"/>
          <w:rtl/>
        </w:rPr>
        <w:t xml:space="preserve"> סך 200,000 ₪; </w:t>
      </w:r>
    </w:p>
    <w:p w:rsidR="0013254E" w:rsidRDefault="0013254E" w:rsidP="0013254E">
      <w:pPr>
        <w:pStyle w:val="af1"/>
        <w:numPr>
          <w:ilvl w:val="0"/>
          <w:numId w:val="2"/>
        </w:numPr>
        <w:spacing w:line="360" w:lineRule="auto"/>
        <w:ind w:left="567" w:hanging="567"/>
        <w:jc w:val="both"/>
        <w:rPr>
          <w:rFonts w:ascii="Arial" w:hAnsi="Arial"/>
          <w:noProof w:val="0"/>
        </w:rPr>
      </w:pPr>
      <w:r>
        <w:rPr>
          <w:rFonts w:ascii="Arial" w:hAnsi="Arial" w:hint="cs"/>
          <w:noProof w:val="0"/>
          <w:rtl/>
        </w:rPr>
        <w:t xml:space="preserve">הפרת חובה חקוקה </w:t>
      </w:r>
      <w:r>
        <w:rPr>
          <w:rFonts w:ascii="Arial" w:hAnsi="Arial"/>
          <w:noProof w:val="0"/>
          <w:rtl/>
        </w:rPr>
        <w:t>–</w:t>
      </w:r>
      <w:r>
        <w:rPr>
          <w:rFonts w:ascii="Arial" w:hAnsi="Arial" w:hint="cs"/>
          <w:noProof w:val="0"/>
          <w:rtl/>
        </w:rPr>
        <w:t xml:space="preserve"> סך 100,000 ₪; </w:t>
      </w:r>
    </w:p>
    <w:p w:rsidR="0013254E" w:rsidRDefault="0013254E" w:rsidP="0013254E">
      <w:pPr>
        <w:pStyle w:val="af1"/>
        <w:numPr>
          <w:ilvl w:val="0"/>
          <w:numId w:val="2"/>
        </w:numPr>
        <w:spacing w:line="360" w:lineRule="auto"/>
        <w:ind w:left="567" w:hanging="567"/>
        <w:jc w:val="both"/>
        <w:rPr>
          <w:rFonts w:ascii="Arial" w:hAnsi="Arial"/>
          <w:noProof w:val="0"/>
        </w:rPr>
      </w:pPr>
      <w:r>
        <w:rPr>
          <w:rFonts w:ascii="Arial" w:hAnsi="Arial" w:hint="cs"/>
          <w:noProof w:val="0"/>
          <w:rtl/>
        </w:rPr>
        <w:t xml:space="preserve">נזקים ישירים והוצאות משפט </w:t>
      </w:r>
      <w:r>
        <w:rPr>
          <w:rFonts w:ascii="Arial" w:hAnsi="Arial"/>
          <w:noProof w:val="0"/>
          <w:rtl/>
        </w:rPr>
        <w:t>–</w:t>
      </w:r>
      <w:r>
        <w:rPr>
          <w:rFonts w:ascii="Arial" w:hAnsi="Arial" w:hint="cs"/>
          <w:noProof w:val="0"/>
          <w:rtl/>
        </w:rPr>
        <w:t xml:space="preserve"> סך 91,214 ₪. </w:t>
      </w:r>
    </w:p>
    <w:p w:rsidR="0013254E" w:rsidRPr="00D725AC"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הליכי קדם משפט, הוכחות וסיכומים מוצו, ובאה העת למתן פסק דין. </w:t>
      </w:r>
    </w:p>
    <w:p w:rsidR="0013254E" w:rsidRDefault="0013254E" w:rsidP="0013254E">
      <w:pPr>
        <w:spacing w:line="360" w:lineRule="auto"/>
        <w:ind w:left="567" w:hanging="567"/>
        <w:jc w:val="both"/>
        <w:rPr>
          <w:rFonts w:ascii="Arial" w:hAnsi="Arial"/>
          <w:noProof w:val="0"/>
          <w:rtl/>
        </w:rPr>
      </w:pPr>
    </w:p>
    <w:p w:rsidR="0013254E" w:rsidRPr="000578C0" w:rsidRDefault="0013254E" w:rsidP="0013254E">
      <w:pPr>
        <w:spacing w:line="360" w:lineRule="auto"/>
        <w:ind w:left="567" w:hanging="567"/>
        <w:jc w:val="both"/>
        <w:rPr>
          <w:rFonts w:ascii="Arial" w:hAnsi="Arial"/>
          <w:b/>
          <w:bCs/>
          <w:noProof w:val="0"/>
          <w:u w:val="single"/>
        </w:rPr>
      </w:pPr>
      <w:r w:rsidRPr="000578C0">
        <w:rPr>
          <w:rFonts w:ascii="Arial" w:hAnsi="Arial" w:hint="cs"/>
          <w:b/>
          <w:bCs/>
          <w:noProof w:val="0"/>
          <w:u w:val="single"/>
          <w:rtl/>
        </w:rPr>
        <w:t>טענות התובע, בתמצית, ומעבר לאמור לעיל</w:t>
      </w: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 אזרח ישראל, ניהל בישראל חיים משותפים עם הנתבעת, אזרחית </w:t>
      </w:r>
      <w:r w:rsidR="003910EA">
        <w:rPr>
          <w:rFonts w:ascii="Arial" w:hAnsi="Arial" w:hint="cs"/>
          <w:noProof w:val="0"/>
          <w:rtl/>
        </w:rPr>
        <w:t>...</w:t>
      </w:r>
      <w:r>
        <w:rPr>
          <w:rFonts w:ascii="Arial" w:hAnsi="Arial" w:hint="cs"/>
          <w:noProof w:val="0"/>
          <w:rtl/>
        </w:rPr>
        <w:t xml:space="preserve">, משך שלוש שנים עד אשר נפרדו, תוך שהנתבעת </w:t>
      </w:r>
      <w:r w:rsidRPr="000578C0">
        <w:rPr>
          <w:rFonts w:ascii="Arial" w:hAnsi="Arial"/>
          <w:noProof w:val="0"/>
          <w:rtl/>
        </w:rPr>
        <w:t>הָרָה</w:t>
      </w:r>
      <w:r>
        <w:rPr>
          <w:rFonts w:ascii="Arial" w:hAnsi="Arial" w:hint="cs"/>
          <w:noProof w:val="0"/>
          <w:rtl/>
        </w:rPr>
        <w:t xml:space="preserve"> ממנו. </w:t>
      </w:r>
    </w:p>
    <w:p w:rsidR="0013254E" w:rsidRPr="000578C0" w:rsidRDefault="0013254E" w:rsidP="0013254E">
      <w:pPr>
        <w:pStyle w:val="af1"/>
        <w:spacing w:line="360" w:lineRule="auto"/>
        <w:ind w:left="567" w:hanging="567"/>
        <w:jc w:val="both"/>
        <w:rPr>
          <w:rFonts w:ascii="Arial" w:hAnsi="Arial"/>
          <w:noProof w:val="0"/>
          <w:sz w:val="16"/>
          <w:szCs w:val="16"/>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הנתבעת פעלה לביטול כל קשר בין הקטין, יליד </w:t>
      </w:r>
      <w:r w:rsidR="003910EA">
        <w:rPr>
          <w:rFonts w:ascii="Arial" w:hAnsi="Arial" w:hint="cs"/>
          <w:noProof w:val="0"/>
          <w:rtl/>
        </w:rPr>
        <w:t>...</w:t>
      </w:r>
      <w:r>
        <w:rPr>
          <w:rFonts w:ascii="Arial" w:hAnsi="Arial" w:hint="cs"/>
          <w:noProof w:val="0"/>
          <w:rtl/>
        </w:rPr>
        <w:t xml:space="preserve">.2013, לבין התובע. </w:t>
      </w:r>
    </w:p>
    <w:p w:rsidR="0013254E" w:rsidRPr="000578C0"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lastRenderedPageBreak/>
        <w:t xml:space="preserve">התובע עשה מאמצים סבירים ויותר כדי לשמר את הקשר עם בנו, אך הנתבעת הודיעה כי תכשיל הקשר וכך עשתה. </w:t>
      </w:r>
    </w:p>
    <w:p w:rsidR="0013254E" w:rsidRPr="000578C0"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הנתבעת והקטין עזבו את ישראל ללא הסכמת התובע. </w:t>
      </w:r>
    </w:p>
    <w:p w:rsidR="0013254E" w:rsidRPr="000578C0"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 נאלץ ליזום הליכי תביעת אבהות, על-מנת שיוכר מעמדו. </w:t>
      </w:r>
    </w:p>
    <w:p w:rsidR="0013254E" w:rsidRPr="000578C0" w:rsidRDefault="0013254E" w:rsidP="0013254E">
      <w:pPr>
        <w:pStyle w:val="af1"/>
        <w:ind w:left="567" w:hanging="567"/>
        <w:rPr>
          <w:rFonts w:ascii="Arial" w:hAnsi="Arial"/>
          <w:noProof w:val="0"/>
          <w:rtl/>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הנתבעת קיבלה ב</w:t>
      </w:r>
      <w:r w:rsidR="003910EA">
        <w:rPr>
          <w:rFonts w:ascii="Arial" w:hAnsi="Arial" w:hint="cs"/>
          <w:noProof w:val="0"/>
          <w:rtl/>
        </w:rPr>
        <w:t>...</w:t>
      </w:r>
      <w:r>
        <w:rPr>
          <w:rFonts w:ascii="Arial" w:hAnsi="Arial" w:hint="cs"/>
          <w:noProof w:val="0"/>
          <w:rtl/>
        </w:rPr>
        <w:t xml:space="preserve"> אפוטרופסות על הקטין וטענה, בכזב, כי התובע הוא אזרח </w:t>
      </w:r>
      <w:r w:rsidR="003910EA">
        <w:rPr>
          <w:rFonts w:ascii="Arial" w:hAnsi="Arial" w:hint="cs"/>
          <w:noProof w:val="0"/>
          <w:rtl/>
        </w:rPr>
        <w:t>...</w:t>
      </w:r>
      <w:r>
        <w:rPr>
          <w:rFonts w:ascii="Arial" w:hAnsi="Arial" w:hint="cs"/>
          <w:noProof w:val="0"/>
          <w:rtl/>
        </w:rPr>
        <w:t xml:space="preserve">, מתכחש לאבהותו ובתוך כך גם חויב התובע במזונות. </w:t>
      </w:r>
    </w:p>
    <w:p w:rsidR="0013254E" w:rsidRPr="005560A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הנתבעת המשיכה, מנעה או חיבלה בקשר או בחידושו. </w:t>
      </w:r>
    </w:p>
    <w:p w:rsidR="0013254E" w:rsidRPr="005560A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הנתבעת אף עודדה פחד וחשש אצל הקטין מהתובע. </w:t>
      </w:r>
    </w:p>
    <w:p w:rsidR="0013254E" w:rsidRDefault="0013254E" w:rsidP="0013254E">
      <w:pPr>
        <w:ind w:left="567" w:hanging="567"/>
        <w:rPr>
          <w:rFonts w:ascii="Arial" w:hAnsi="Arial"/>
          <w:noProof w:val="0"/>
          <w:rtl/>
        </w:rPr>
      </w:pPr>
    </w:p>
    <w:p w:rsidR="0013254E" w:rsidRPr="005560A7" w:rsidRDefault="0013254E" w:rsidP="0013254E">
      <w:pPr>
        <w:spacing w:line="360" w:lineRule="auto"/>
        <w:ind w:left="567" w:hanging="567"/>
        <w:rPr>
          <w:rFonts w:ascii="Arial" w:hAnsi="Arial"/>
          <w:b/>
          <w:bCs/>
          <w:noProof w:val="0"/>
          <w:u w:val="single"/>
          <w:rtl/>
        </w:rPr>
      </w:pPr>
      <w:r w:rsidRPr="005560A7">
        <w:rPr>
          <w:rFonts w:ascii="Arial" w:hAnsi="Arial" w:hint="cs"/>
          <w:b/>
          <w:bCs/>
          <w:noProof w:val="0"/>
          <w:u w:val="single"/>
          <w:rtl/>
        </w:rPr>
        <w:t>טענות הנתבעת, בתמצית</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לא בעטיה של הנתבעת נותק הקשר בין האב לבין הקטין, אלא בעטיו, ובנוסף אשם תורם רב משקל מוטל על התובע. </w:t>
      </w:r>
    </w:p>
    <w:p w:rsidR="0013254E" w:rsidRPr="005560A7" w:rsidRDefault="0013254E" w:rsidP="0013254E">
      <w:pPr>
        <w:pStyle w:val="af1"/>
        <w:spacing w:line="360" w:lineRule="auto"/>
        <w:ind w:left="567" w:hanging="567"/>
        <w:jc w:val="both"/>
        <w:rPr>
          <w:rFonts w:ascii="Arial" w:hAnsi="Arial"/>
          <w:noProof w:val="0"/>
          <w:sz w:val="16"/>
          <w:szCs w:val="16"/>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מלכתחילה היה ברור כי שהיית הנתבעת בישראל זמנית, וזו לא תקבע את מרכז חייה בישראל, אלא בחוץ לארץ. </w:t>
      </w:r>
    </w:p>
    <w:p w:rsidR="0013254E" w:rsidRPr="005560A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 גם לחץ כי יופסק ההיריון ואף הסכים ליציאת הנתבעת מישראל. </w:t>
      </w:r>
    </w:p>
    <w:p w:rsidR="0013254E" w:rsidRPr="000760CA"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הנתבעת דווקא פעלה לקיום קשר בין התובע לבין הקטין. </w:t>
      </w:r>
    </w:p>
    <w:p w:rsidR="0013254E" w:rsidRPr="005560A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הנתבעת הסכימה לבירור האבהות, ועניין המשמורת וזמני השהות, כמו גם המזונות, </w:t>
      </w:r>
      <w:r w:rsidR="003910EA">
        <w:rPr>
          <w:rFonts w:ascii="Arial" w:hAnsi="Arial" w:hint="cs"/>
          <w:noProof w:val="0"/>
          <w:rtl/>
        </w:rPr>
        <w:t>מקום בירורם ב...</w:t>
      </w:r>
      <w:r>
        <w:rPr>
          <w:rFonts w:ascii="Arial" w:hAnsi="Arial" w:hint="cs"/>
          <w:noProof w:val="0"/>
          <w:rtl/>
        </w:rPr>
        <w:t xml:space="preserve">. </w:t>
      </w:r>
    </w:p>
    <w:p w:rsidR="0013254E" w:rsidRPr="000760CA"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שנתיים לא עשה התובע דבר עד</w:t>
      </w:r>
      <w:r w:rsidR="003910EA">
        <w:rPr>
          <w:rFonts w:ascii="Arial" w:hAnsi="Arial" w:hint="cs"/>
          <w:noProof w:val="0"/>
          <w:rtl/>
        </w:rPr>
        <w:t xml:space="preserve"> שהתבקש אכיפת פסק המזונות ה...</w:t>
      </w:r>
      <w:r>
        <w:rPr>
          <w:rFonts w:ascii="Arial" w:hAnsi="Arial" w:hint="cs"/>
          <w:noProof w:val="0"/>
          <w:rtl/>
        </w:rPr>
        <w:t xml:space="preserve"> בישראל. </w:t>
      </w:r>
    </w:p>
    <w:p w:rsidR="0013254E" w:rsidRPr="000760CA" w:rsidRDefault="0013254E" w:rsidP="0013254E">
      <w:pPr>
        <w:pStyle w:val="af1"/>
        <w:ind w:left="567" w:hanging="567"/>
        <w:rPr>
          <w:rFonts w:ascii="Arial" w:hAnsi="Arial"/>
          <w:noProof w:val="0"/>
          <w:rtl/>
        </w:rPr>
      </w:pPr>
    </w:p>
    <w:p w:rsidR="0013254E" w:rsidRDefault="003910EA"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רק בדצמבר 2017 ביקש התובע ב...</w:t>
      </w:r>
      <w:r w:rsidR="0013254E">
        <w:rPr>
          <w:rFonts w:ascii="Arial" w:hAnsi="Arial" w:hint="cs"/>
          <w:noProof w:val="0"/>
          <w:rtl/>
        </w:rPr>
        <w:t xml:space="preserve"> זמני שהות, אך גם א</w:t>
      </w:r>
      <w:r>
        <w:rPr>
          <w:rFonts w:ascii="Arial" w:hAnsi="Arial" w:hint="cs"/>
          <w:noProof w:val="0"/>
          <w:rtl/>
        </w:rPr>
        <w:t>לה שנקבעו על-ידי בית המשפט ב...</w:t>
      </w:r>
      <w:r w:rsidR="0013254E">
        <w:rPr>
          <w:rFonts w:ascii="Arial" w:hAnsi="Arial" w:hint="cs"/>
          <w:noProof w:val="0"/>
          <w:rtl/>
        </w:rPr>
        <w:t xml:space="preserve"> לא התקיימו כסדרם, בעטיו של התובע. </w:t>
      </w:r>
    </w:p>
    <w:p w:rsidR="0013254E" w:rsidRPr="000760CA"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 אינו מנוכר, הוא זה אשר יצר את הנתק. </w:t>
      </w:r>
    </w:p>
    <w:p w:rsidR="0013254E" w:rsidRPr="000760CA"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מאז הוגשה התביעה לא עשה התובע דבר לקיום קשר ולא ראה הוא את הקטין, סירב לפגוש בקטין אפילו במרכז קשר ונוהג בפועל באופן שיש בו להרחיק הקטין. </w:t>
      </w:r>
    </w:p>
    <w:p w:rsidR="0013254E" w:rsidRPr="000760CA"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lastRenderedPageBreak/>
        <w:t>למעשה, מאפריל 2019 לא עשה התובע דבר, גם ל</w:t>
      </w:r>
      <w:r w:rsidR="003910EA">
        <w:rPr>
          <w:rFonts w:ascii="Arial" w:hAnsi="Arial" w:hint="cs"/>
          <w:noProof w:val="0"/>
          <w:rtl/>
        </w:rPr>
        <w:t>א פעל כפי החלטת בית המשפט ה...</w:t>
      </w:r>
      <w:r>
        <w:rPr>
          <w:rFonts w:ascii="Arial" w:hAnsi="Arial" w:hint="cs"/>
          <w:noProof w:val="0"/>
          <w:rtl/>
        </w:rPr>
        <w:t xml:space="preserve"> לחידוש הקשר במרכז קשר, וכל עניינו אינו אלא כספי. </w:t>
      </w:r>
    </w:p>
    <w:p w:rsidR="0013254E" w:rsidRPr="000760CA"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הפיצוי הכספי בתביעות כגון דא הוא עד סך 15,000 ₪ ויש להביא בחשבון גם את האשם התורם של התובע. </w:t>
      </w:r>
    </w:p>
    <w:p w:rsidR="0013254E" w:rsidRDefault="0013254E" w:rsidP="0013254E">
      <w:pPr>
        <w:ind w:left="567" w:hanging="567"/>
        <w:rPr>
          <w:rFonts w:ascii="Arial" w:hAnsi="Arial"/>
          <w:noProof w:val="0"/>
          <w:rtl/>
        </w:rPr>
      </w:pPr>
    </w:p>
    <w:p w:rsidR="0013254E" w:rsidRPr="000760CA" w:rsidRDefault="0013254E" w:rsidP="0013254E">
      <w:pPr>
        <w:spacing w:line="360" w:lineRule="auto"/>
        <w:ind w:left="567" w:hanging="567"/>
        <w:rPr>
          <w:rFonts w:ascii="Arial" w:hAnsi="Arial"/>
          <w:b/>
          <w:bCs/>
          <w:noProof w:val="0"/>
          <w:sz w:val="26"/>
          <w:szCs w:val="26"/>
          <w:rtl/>
        </w:rPr>
      </w:pPr>
      <w:r w:rsidRPr="000760CA">
        <w:rPr>
          <w:rFonts w:ascii="Arial" w:hAnsi="Arial" w:hint="cs"/>
          <w:b/>
          <w:bCs/>
          <w:noProof w:val="0"/>
          <w:sz w:val="26"/>
          <w:szCs w:val="26"/>
          <w:u w:val="single"/>
          <w:rtl/>
        </w:rPr>
        <w:t>דיון והכרעה</w:t>
      </w:r>
      <w:r w:rsidRPr="000760CA">
        <w:rPr>
          <w:rFonts w:ascii="Arial" w:hAnsi="Arial" w:hint="cs"/>
          <w:b/>
          <w:bCs/>
          <w:noProof w:val="0"/>
          <w:sz w:val="26"/>
          <w:szCs w:val="26"/>
          <w:rtl/>
        </w:rPr>
        <w:t>:</w:t>
      </w:r>
    </w:p>
    <w:p w:rsidR="0013254E" w:rsidRPr="000760CA" w:rsidRDefault="0013254E" w:rsidP="0013254E">
      <w:pPr>
        <w:spacing w:line="360" w:lineRule="auto"/>
        <w:ind w:left="567" w:hanging="567"/>
        <w:rPr>
          <w:rFonts w:ascii="Arial" w:hAnsi="Arial"/>
          <w:b/>
          <w:bCs/>
          <w:noProof w:val="0"/>
          <w:u w:val="single"/>
          <w:rtl/>
        </w:rPr>
      </w:pPr>
      <w:r w:rsidRPr="000760CA">
        <w:rPr>
          <w:rFonts w:ascii="Arial" w:hAnsi="Arial" w:hint="cs"/>
          <w:b/>
          <w:bCs/>
          <w:noProof w:val="0"/>
          <w:u w:val="single"/>
          <w:rtl/>
        </w:rPr>
        <w:t>האם גרם ניתוק קשר הוא עילת תובענה</w:t>
      </w:r>
      <w:r w:rsidRPr="000760CA">
        <w:rPr>
          <w:rFonts w:ascii="Arial" w:hAnsi="Arial" w:hint="cs"/>
          <w:b/>
          <w:bCs/>
          <w:noProof w:val="0"/>
          <w:rtl/>
        </w:rPr>
        <w:t>?</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דומני שהתשובה החיובית הוכרעה בפסיקה זה מכבר, והיא כלל אינה במחלוקת בין הצדדים. </w:t>
      </w:r>
    </w:p>
    <w:p w:rsidR="0013254E" w:rsidRPr="002B4A23" w:rsidRDefault="0013254E" w:rsidP="0013254E">
      <w:pPr>
        <w:pStyle w:val="af1"/>
        <w:spacing w:line="360" w:lineRule="auto"/>
        <w:ind w:left="567" w:hanging="567"/>
        <w:jc w:val="both"/>
        <w:rPr>
          <w:rFonts w:ascii="Arial" w:hAnsi="Arial"/>
          <w:noProof w:val="0"/>
          <w:sz w:val="10"/>
          <w:szCs w:val="10"/>
        </w:rPr>
      </w:pPr>
    </w:p>
    <w:p w:rsidR="0013254E" w:rsidRDefault="0013254E" w:rsidP="0013254E">
      <w:pPr>
        <w:pStyle w:val="af1"/>
        <w:numPr>
          <w:ilvl w:val="0"/>
          <w:numId w:val="1"/>
        </w:numPr>
        <w:spacing w:line="360" w:lineRule="auto"/>
        <w:ind w:left="567" w:hanging="567"/>
        <w:jc w:val="both"/>
        <w:rPr>
          <w:rFonts w:ascii="Arial" w:hAnsi="Arial"/>
          <w:noProof w:val="0"/>
        </w:rPr>
      </w:pPr>
      <w:r>
        <w:drawing>
          <wp:anchor distT="0" distB="0" distL="114300" distR="114300" simplePos="0" relativeHeight="251661312" behindDoc="1" locked="0" layoutInCell="1" allowOverlap="1" wp14:anchorId="1E22262A" wp14:editId="1F1EED8E">
            <wp:simplePos x="0" y="0"/>
            <wp:positionH relativeFrom="margin">
              <wp:align>left</wp:align>
            </wp:positionH>
            <wp:positionV relativeFrom="page">
              <wp:posOffset>4286992</wp:posOffset>
            </wp:positionV>
            <wp:extent cx="4499763" cy="486889"/>
            <wp:effectExtent l="0" t="0" r="0" b="8890"/>
            <wp:wrapNone/>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4499763" cy="48688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hint="cs"/>
          <w:noProof w:val="0"/>
          <w:rtl/>
        </w:rPr>
        <w:t xml:space="preserve">בין השאר הביא כך התובע בסיכומיו: </w:t>
      </w:r>
    </w:p>
    <w:p w:rsidR="0013254E" w:rsidRDefault="0013254E" w:rsidP="0013254E">
      <w:pPr>
        <w:ind w:left="567" w:hanging="567"/>
        <w:rPr>
          <w:rFonts w:ascii="Arial" w:hAnsi="Arial"/>
          <w:noProof w:val="0"/>
        </w:rPr>
      </w:pPr>
    </w:p>
    <w:p w:rsidR="0013254E" w:rsidRDefault="0013254E" w:rsidP="0013254E">
      <w:pPr>
        <w:ind w:left="567" w:hanging="567"/>
        <w:rPr>
          <w:rFonts w:ascii="Arial" w:hAnsi="Arial"/>
          <w:noProof w:val="0"/>
        </w:rPr>
      </w:pPr>
    </w:p>
    <w:p w:rsidR="0013254E" w:rsidRDefault="0013254E" w:rsidP="0013254E">
      <w:pPr>
        <w:ind w:left="567" w:hanging="567"/>
        <w:rPr>
          <w:rFonts w:ascii="Arial" w:hAnsi="Arial"/>
          <w:noProof w:val="0"/>
          <w:rtl/>
        </w:rPr>
      </w:pPr>
      <w:r>
        <w:drawing>
          <wp:anchor distT="0" distB="0" distL="114300" distR="114300" simplePos="0" relativeHeight="251659264" behindDoc="1" locked="0" layoutInCell="1" allowOverlap="1" wp14:anchorId="008C2154" wp14:editId="1AE74499">
            <wp:simplePos x="0" y="0"/>
            <wp:positionH relativeFrom="margin">
              <wp:align>left</wp:align>
            </wp:positionH>
            <wp:positionV relativeFrom="page">
              <wp:posOffset>4743804</wp:posOffset>
            </wp:positionV>
            <wp:extent cx="4480008" cy="819397"/>
            <wp:effectExtent l="0" t="0" r="0" b="0"/>
            <wp:wrapNone/>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4480008" cy="819397"/>
                    </a:xfrm>
                    <a:prstGeom prst="rect">
                      <a:avLst/>
                    </a:prstGeom>
                  </pic:spPr>
                </pic:pic>
              </a:graphicData>
            </a:graphic>
            <wp14:sizeRelH relativeFrom="page">
              <wp14:pctWidth>0</wp14:pctWidth>
            </wp14:sizeRelH>
            <wp14:sizeRelV relativeFrom="page">
              <wp14:pctHeight>0</wp14:pctHeight>
            </wp14:sizeRelV>
          </wp:anchor>
        </w:drawing>
      </w: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Pr="002B4A23" w:rsidRDefault="0013254E" w:rsidP="0013254E">
      <w:pPr>
        <w:ind w:left="567" w:hanging="567"/>
        <w:jc w:val="center"/>
        <w:rPr>
          <w:b/>
          <w:bCs/>
          <w:rtl/>
        </w:rPr>
      </w:pPr>
      <w:r>
        <w:drawing>
          <wp:anchor distT="0" distB="0" distL="114300" distR="114300" simplePos="0" relativeHeight="251660288" behindDoc="1" locked="0" layoutInCell="1" allowOverlap="1" wp14:anchorId="353F5416" wp14:editId="59899F4D">
            <wp:simplePos x="0" y="0"/>
            <wp:positionH relativeFrom="margin">
              <wp:align>left</wp:align>
            </wp:positionH>
            <wp:positionV relativeFrom="page">
              <wp:posOffset>5551236</wp:posOffset>
            </wp:positionV>
            <wp:extent cx="4479925" cy="3295015"/>
            <wp:effectExtent l="0" t="0" r="0" b="635"/>
            <wp:wrapNone/>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79925" cy="3295015"/>
                    </a:xfrm>
                    <a:prstGeom prst="rect">
                      <a:avLst/>
                    </a:prstGeom>
                    <a:noFill/>
                  </pic:spPr>
                </pic:pic>
              </a:graphicData>
            </a:graphic>
            <wp14:sizeRelH relativeFrom="page">
              <wp14:pctWidth>0</wp14:pctWidth>
            </wp14:sizeRelH>
            <wp14:sizeRelV relativeFrom="page">
              <wp14:pctHeight>0</wp14:pctHeight>
            </wp14:sizeRelV>
          </wp:anchor>
        </w:drawing>
      </w:r>
      <w:r w:rsidRPr="002B4A23">
        <w:rPr>
          <w:rFonts w:hint="cs"/>
          <w:b/>
          <w:bCs/>
          <w:rtl/>
        </w:rPr>
        <w:t>...</w:t>
      </w: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r>
        <w:drawing>
          <wp:anchor distT="0" distB="0" distL="114300" distR="114300" simplePos="0" relativeHeight="251662336" behindDoc="1" locked="0" layoutInCell="1" allowOverlap="1" wp14:anchorId="0FB14439" wp14:editId="1E930870">
            <wp:simplePos x="0" y="0"/>
            <wp:positionH relativeFrom="margin">
              <wp:align>left</wp:align>
            </wp:positionH>
            <wp:positionV relativeFrom="page">
              <wp:posOffset>2422567</wp:posOffset>
            </wp:positionV>
            <wp:extent cx="4499551" cy="605642"/>
            <wp:effectExtent l="0" t="0" r="0" b="4445"/>
            <wp:wrapNone/>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4499551" cy="605642"/>
                    </a:xfrm>
                    <a:prstGeom prst="rect">
                      <a:avLst/>
                    </a:prstGeom>
                  </pic:spPr>
                </pic:pic>
              </a:graphicData>
            </a:graphic>
            <wp14:sizeRelH relativeFrom="margin">
              <wp14:pctWidth>0</wp14:pctWidth>
            </wp14:sizeRelH>
            <wp14:sizeRelV relativeFrom="margin">
              <wp14:pctHeight>0</wp14:pctHeight>
            </wp14:sizeRelV>
          </wp:anchor>
        </w:drawing>
      </w: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r>
        <w:drawing>
          <wp:anchor distT="0" distB="0" distL="114300" distR="114300" simplePos="0" relativeHeight="251663360" behindDoc="1" locked="0" layoutInCell="1" allowOverlap="1" wp14:anchorId="09B78057" wp14:editId="5FC3404D">
            <wp:simplePos x="0" y="0"/>
            <wp:positionH relativeFrom="margin">
              <wp:align>left</wp:align>
            </wp:positionH>
            <wp:positionV relativeFrom="page">
              <wp:posOffset>2968831</wp:posOffset>
            </wp:positionV>
            <wp:extent cx="4498775" cy="2766951"/>
            <wp:effectExtent l="0" t="0" r="0" b="0"/>
            <wp:wrapNone/>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4498775" cy="2766951"/>
                    </a:xfrm>
                    <a:prstGeom prst="rect">
                      <a:avLst/>
                    </a:prstGeom>
                  </pic:spPr>
                </pic:pic>
              </a:graphicData>
            </a:graphic>
            <wp14:sizeRelH relativeFrom="margin">
              <wp14:pctWidth>0</wp14:pctWidth>
            </wp14:sizeRelH>
            <wp14:sizeRelV relativeFrom="margin">
              <wp14:pctHeight>0</wp14:pctHeight>
            </wp14:sizeRelV>
          </wp:anchor>
        </w:drawing>
      </w: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C24248">
        <w:rPr>
          <w:rFonts w:ascii="Arial" w:hAnsi="Arial" w:hint="cs"/>
          <w:noProof w:val="0"/>
          <w:rtl/>
        </w:rPr>
        <w:t xml:space="preserve">גם הנתבעת כתבה, כך: </w:t>
      </w:r>
    </w:p>
    <w:p w:rsidR="0013254E" w:rsidRDefault="0013254E" w:rsidP="0013254E">
      <w:pPr>
        <w:spacing w:line="360" w:lineRule="auto"/>
        <w:ind w:left="567" w:hanging="567"/>
        <w:jc w:val="both"/>
        <w:rPr>
          <w:rFonts w:ascii="Arial" w:hAnsi="Arial"/>
          <w:noProof w:val="0"/>
          <w:rtl/>
        </w:rPr>
      </w:pPr>
      <w:r>
        <w:drawing>
          <wp:anchor distT="0" distB="0" distL="114300" distR="114300" simplePos="0" relativeHeight="251664384" behindDoc="1" locked="0" layoutInCell="1" allowOverlap="1" wp14:anchorId="6086BABD" wp14:editId="2BB6CCAA">
            <wp:simplePos x="0" y="0"/>
            <wp:positionH relativeFrom="margin">
              <wp:align>left</wp:align>
            </wp:positionH>
            <wp:positionV relativeFrom="paragraph">
              <wp:posOffset>4371</wp:posOffset>
            </wp:positionV>
            <wp:extent cx="4497070" cy="3414156"/>
            <wp:effectExtent l="0" t="0" r="0" b="0"/>
            <wp:wrapNone/>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duotone>
                        <a:prstClr val="black"/>
                        <a:srgbClr val="D9C3A5">
                          <a:tint val="50000"/>
                          <a:satMod val="180000"/>
                        </a:srgbClr>
                      </a:duotone>
                      <a:extLst>
                        <a:ext uri="{28A0092B-C50C-407E-A947-70E740481C1C}">
                          <a14:useLocalDpi xmlns:a14="http://schemas.microsoft.com/office/drawing/2010/main" val="0"/>
                        </a:ext>
                      </a:extLst>
                    </a:blip>
                    <a:stretch>
                      <a:fillRect/>
                    </a:stretch>
                  </pic:blipFill>
                  <pic:spPr>
                    <a:xfrm>
                      <a:off x="0" y="0"/>
                      <a:ext cx="4497070" cy="3414156"/>
                    </a:xfrm>
                    <a:prstGeom prst="rect">
                      <a:avLst/>
                    </a:prstGeom>
                  </pic:spPr>
                </pic:pic>
              </a:graphicData>
            </a:graphic>
            <wp14:sizeRelH relativeFrom="page">
              <wp14:pctWidth>0</wp14:pctWidth>
            </wp14:sizeRelH>
            <wp14:sizeRelV relativeFrom="page">
              <wp14:pctHeight>0</wp14:pctHeight>
            </wp14:sizeRelV>
          </wp:anchor>
        </w:drawing>
      </w:r>
    </w:p>
    <w:p w:rsidR="0013254E" w:rsidRPr="00D11825" w:rsidRDefault="0013254E" w:rsidP="0013254E">
      <w:pPr>
        <w:spacing w:line="360" w:lineRule="auto"/>
        <w:ind w:left="567" w:hanging="567"/>
        <w:jc w:val="both"/>
        <w:rPr>
          <w:rFonts w:ascii="Arial" w:hAnsi="Arial"/>
          <w:noProof w:val="0"/>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וכך, בין השאר כתבתי ב</w:t>
      </w:r>
      <w:r w:rsidRPr="009111A5">
        <w:rPr>
          <w:rFonts w:ascii="Arial" w:hAnsi="Arial" w:hint="cs"/>
          <w:noProof w:val="0"/>
          <w:rtl/>
        </w:rPr>
        <w:t>תלה"מ (ת"א) 51455-03-17</w:t>
      </w:r>
      <w:r>
        <w:rPr>
          <w:rFonts w:ascii="Arial" w:hAnsi="Arial" w:hint="cs"/>
          <w:noProof w:val="0"/>
          <w:rtl/>
        </w:rPr>
        <w:t xml:space="preserve"> </w:t>
      </w:r>
      <w:r w:rsidRPr="009111A5">
        <w:rPr>
          <w:rFonts w:ascii="Arial" w:hAnsi="Arial" w:hint="cs"/>
          <w:b/>
          <w:bCs/>
          <w:noProof w:val="0"/>
          <w:rtl/>
        </w:rPr>
        <w:t>נ. א. מ. נ' ש. כ.</w:t>
      </w:r>
      <w:r>
        <w:rPr>
          <w:rFonts w:ascii="Arial" w:hAnsi="Arial" w:hint="cs"/>
          <w:noProof w:val="0"/>
          <w:rtl/>
        </w:rPr>
        <w:t xml:space="preserve"> (פמ"מ </w:t>
      </w:r>
      <w:r>
        <w:rPr>
          <w:rFonts w:ascii="Arial" w:hAnsi="Arial"/>
          <w:noProof w:val="0"/>
          <w:rtl/>
        </w:rPr>
        <w:t>–</w:t>
      </w:r>
      <w:r>
        <w:rPr>
          <w:rFonts w:ascii="Arial" w:hAnsi="Arial" w:hint="cs"/>
          <w:noProof w:val="0"/>
          <w:rtl/>
        </w:rPr>
        <w:t xml:space="preserve"> 05.04.2020), בתובענה שעניינה פיצוי בשל גרם נתק בקשר, שהגיע כדי ניכור הורי: </w:t>
      </w:r>
    </w:p>
    <w:p w:rsidR="0013254E" w:rsidRPr="007305D0" w:rsidRDefault="0013254E" w:rsidP="0013254E">
      <w:pPr>
        <w:spacing w:line="360" w:lineRule="auto"/>
        <w:ind w:left="567" w:hanging="567"/>
        <w:jc w:val="both"/>
        <w:rPr>
          <w:rFonts w:ascii="Arial" w:hAnsi="Arial"/>
          <w:noProof w:val="0"/>
          <w:sz w:val="10"/>
          <w:szCs w:val="10"/>
          <w:rtl/>
        </w:rPr>
      </w:pPr>
    </w:p>
    <w:p w:rsidR="0013254E" w:rsidRPr="007305D0" w:rsidRDefault="0013254E" w:rsidP="0013254E">
      <w:pPr>
        <w:spacing w:line="360" w:lineRule="auto"/>
        <w:ind w:left="1440"/>
        <w:jc w:val="both"/>
        <w:rPr>
          <w:rFonts w:ascii="Arial" w:hAnsi="Arial"/>
          <w:b/>
          <w:bCs/>
          <w:i/>
          <w:iCs/>
          <w:noProof w:val="0"/>
        </w:rPr>
      </w:pPr>
      <w:r w:rsidRPr="007305D0">
        <w:rPr>
          <w:rFonts w:ascii="Arial" w:hAnsi="Arial" w:hint="cs"/>
          <w:b/>
          <w:bCs/>
          <w:i/>
          <w:iCs/>
          <w:noProof w:val="0"/>
          <w:rtl/>
        </w:rPr>
        <w:t>"</w:t>
      </w:r>
      <w:r w:rsidRPr="007305D0">
        <w:rPr>
          <w:rFonts w:ascii="Arial" w:hAnsi="Arial"/>
          <w:b/>
          <w:bCs/>
          <w:i/>
          <w:iCs/>
          <w:noProof w:val="0"/>
          <w:rtl/>
        </w:rPr>
        <w:t>בוודאי שמדובר בתובענה נזיקית, אף שסבור אני כי אף פנים חוזיות לה (וראה: רע"א (חי') 16017-06-18 המוסד לביטוח לאומי נ' פלוני {פמ"מ – 21.08.2018}), על האסמכתאות המובאות שם.</w:t>
      </w:r>
      <w:r w:rsidRPr="007305D0">
        <w:rPr>
          <w:rFonts w:ascii="Arial" w:hAnsi="Arial" w:hint="cs"/>
          <w:b/>
          <w:bCs/>
          <w:i/>
          <w:iCs/>
          <w:noProof w:val="0"/>
          <w:rtl/>
        </w:rPr>
        <w:t>"</w:t>
      </w:r>
    </w:p>
    <w:p w:rsidR="0013254E" w:rsidRDefault="0013254E" w:rsidP="0013254E">
      <w:pPr>
        <w:spacing w:line="360" w:lineRule="auto"/>
        <w:ind w:left="567" w:hanging="567"/>
        <w:jc w:val="both"/>
        <w:rPr>
          <w:rFonts w:ascii="Arial" w:hAnsi="Arial"/>
          <w:noProof w:val="0"/>
          <w:rtl/>
        </w:rPr>
      </w:pPr>
    </w:p>
    <w:p w:rsidR="0013254E" w:rsidRDefault="0013254E" w:rsidP="0013254E">
      <w:pPr>
        <w:spacing w:line="360" w:lineRule="auto"/>
        <w:ind w:left="567" w:hanging="567"/>
        <w:jc w:val="both"/>
        <w:rPr>
          <w:rFonts w:ascii="Arial" w:hAnsi="Arial"/>
          <w:b/>
          <w:bCs/>
          <w:noProof w:val="0"/>
          <w:u w:val="single"/>
        </w:rPr>
      </w:pPr>
      <w:r>
        <w:rPr>
          <w:rFonts w:ascii="Arial" w:hAnsi="Arial"/>
          <w:b/>
          <w:bCs/>
          <w:noProof w:val="0"/>
          <w:u w:val="single"/>
          <w:rtl/>
        </w:rPr>
        <w:t>על מדיניות שיפוטית ושיקולים שבדין</w:t>
      </w: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בעיקרון, לא ימהר אף לא ישוש המשפט להיכנס אל תוך האוטונומיה של המשפחה (וראה: ע"א 2266/93</w:t>
      </w:r>
      <w:r w:rsidRPr="00E05ADB">
        <w:rPr>
          <w:rFonts w:ascii="Arial" w:hAnsi="Arial"/>
          <w:b/>
          <w:bCs/>
          <w:noProof w:val="0"/>
          <w:rtl/>
        </w:rPr>
        <w:t xml:space="preserve"> פלוני נ' פלוני</w:t>
      </w:r>
      <w:r w:rsidRPr="00E05ADB">
        <w:rPr>
          <w:rFonts w:ascii="Arial" w:hAnsi="Arial"/>
          <w:noProof w:val="0"/>
          <w:rtl/>
        </w:rPr>
        <w:t xml:space="preserve">, מט(1) 221 {פמ"מ – 22.02.1995}).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 xml:space="preserve">אלא שישנם תחומים ומקרים בהם מתערב המשפט, בכללם סרבנות גט על נזקיה (וראה: בע"מ 3151/14 </w:t>
      </w:r>
      <w:r w:rsidRPr="00E05ADB">
        <w:rPr>
          <w:rFonts w:ascii="Arial" w:hAnsi="Arial"/>
          <w:b/>
          <w:bCs/>
          <w:noProof w:val="0"/>
          <w:rtl/>
        </w:rPr>
        <w:t>פלונית נ' פלוני</w:t>
      </w:r>
      <w:r w:rsidRPr="00E05ADB">
        <w:rPr>
          <w:rFonts w:ascii="Arial" w:hAnsi="Arial"/>
          <w:noProof w:val="0"/>
          <w:rtl/>
        </w:rPr>
        <w:t xml:space="preserve"> {פמ"מ – 05.11.2015}); הוצאת לשון הרע (וראה: דנ"א 7325/95 </w:t>
      </w:r>
      <w:r w:rsidRPr="00E05ADB">
        <w:rPr>
          <w:rFonts w:ascii="Arial" w:hAnsi="Arial"/>
          <w:b/>
          <w:bCs/>
          <w:noProof w:val="0"/>
          <w:rtl/>
        </w:rPr>
        <w:t>ידיעות אחרונות נ' קראוס</w:t>
      </w:r>
      <w:r w:rsidRPr="00E05ADB">
        <w:rPr>
          <w:rFonts w:ascii="Arial" w:hAnsi="Arial"/>
          <w:noProof w:val="0"/>
          <w:rtl/>
        </w:rPr>
        <w:t xml:space="preserve">, נב(3) 1 {פמ"מ – 29.06.1998}); הפרת חובת ההגינות (וראה: רע"א 1554/16 </w:t>
      </w:r>
      <w:r w:rsidRPr="00E05ADB">
        <w:rPr>
          <w:rFonts w:ascii="Arial" w:hAnsi="Arial"/>
          <w:b/>
          <w:bCs/>
          <w:noProof w:val="0"/>
          <w:rtl/>
        </w:rPr>
        <w:t>אבן ישראל בע"מ נ' שולמן</w:t>
      </w:r>
      <w:r w:rsidRPr="00E05ADB">
        <w:rPr>
          <w:rFonts w:ascii="Arial" w:hAnsi="Arial"/>
          <w:noProof w:val="0"/>
          <w:rtl/>
        </w:rPr>
        <w:t xml:space="preserve"> {פמ"מ – 05.06.2016}), גם הגשת תלונות שווא ואין מדובר ברשימה סגורה. </w:t>
      </w:r>
    </w:p>
    <w:p w:rsidR="0013254E" w:rsidRPr="00E05AD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 xml:space="preserve">ביקשה המדיניות השיפוטית הרצויה למנוע ככל האפשר התדיינות בנזיקין בין בני משפחה (וראה: עמ"ש (מרכז) 56871-01-16 </w:t>
      </w:r>
      <w:r w:rsidRPr="00E05ADB">
        <w:rPr>
          <w:rFonts w:ascii="Arial" w:hAnsi="Arial"/>
          <w:b/>
          <w:bCs/>
          <w:noProof w:val="0"/>
          <w:rtl/>
        </w:rPr>
        <w:t>מ. ז. כ. נ' ע. ז. כ</w:t>
      </w:r>
      <w:r w:rsidRPr="00E05ADB">
        <w:rPr>
          <w:rFonts w:ascii="Arial" w:hAnsi="Arial"/>
          <w:noProof w:val="0"/>
          <w:rtl/>
        </w:rPr>
        <w:t xml:space="preserve"> {פמ"מ – 28.02.2017}), אך בסופו של יום לא מועטים התחומים בהם מוגשות תובענות שכאלו, אף צולחות (וראה: </w:t>
      </w:r>
      <w:r w:rsidRPr="00E05ADB">
        <w:rPr>
          <w:rFonts w:ascii="Arial" w:hAnsi="Arial"/>
          <w:b/>
          <w:bCs/>
          <w:noProof w:val="0"/>
          <w:rtl/>
        </w:rPr>
        <w:t>"רע"א 8368/18",</w:t>
      </w:r>
      <w:r w:rsidRPr="00E05ADB">
        <w:rPr>
          <w:rFonts w:ascii="Arial" w:hAnsi="Arial"/>
          <w:noProof w:val="0"/>
          <w:rtl/>
        </w:rPr>
        <w:t xml:space="preserve"> לעניין תביעות נזיקין בשל אלימות או פגיעה מינית). </w:t>
      </w:r>
    </w:p>
    <w:p w:rsidR="0013254E" w:rsidRPr="00E05AD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 xml:space="preserve">התערבות המשפט נעשתה הן לעניין הפרת חובה חקוקה (וראה : ע"א 7735/14 </w:t>
      </w:r>
      <w:r w:rsidRPr="00E05ADB">
        <w:rPr>
          <w:rFonts w:ascii="Arial" w:hAnsi="Arial"/>
          <w:b/>
          <w:bCs/>
          <w:noProof w:val="0"/>
          <w:rtl/>
        </w:rPr>
        <w:t xml:space="preserve">ורדינקוב נ' אלוביץ </w:t>
      </w:r>
      <w:r w:rsidRPr="00E05ADB">
        <w:rPr>
          <w:rFonts w:ascii="Arial" w:hAnsi="Arial"/>
          <w:noProof w:val="0"/>
          <w:rtl/>
        </w:rPr>
        <w:t xml:space="preserve">{פמ"מ – 28.12.2016}), הן לעניין פגיעה באוטונומיה (וראה: בג"צ 6051/95 </w:t>
      </w:r>
      <w:r w:rsidRPr="00E05ADB">
        <w:rPr>
          <w:rFonts w:ascii="Arial" w:hAnsi="Arial"/>
          <w:b/>
          <w:bCs/>
          <w:noProof w:val="0"/>
          <w:rtl/>
        </w:rPr>
        <w:t>רקנט נ' בית הדין הארצי לעבודה</w:t>
      </w:r>
      <w:r w:rsidRPr="00E05ADB">
        <w:rPr>
          <w:rFonts w:ascii="Arial" w:hAnsi="Arial"/>
          <w:noProof w:val="0"/>
          <w:rtl/>
        </w:rPr>
        <w:t xml:space="preserve">, נא(3) 289 {פמ"מ – 24.06.1997}), הן לעניין עוולת הרשלנות (וראה: ע"א 5049/91 </w:t>
      </w:r>
      <w:r w:rsidRPr="00E05ADB">
        <w:rPr>
          <w:rFonts w:ascii="Arial" w:hAnsi="Arial"/>
          <w:b/>
          <w:bCs/>
          <w:noProof w:val="0"/>
          <w:rtl/>
        </w:rPr>
        <w:t>קופת חולים של ההסתדרות הכללית נ' רחמן</w:t>
      </w:r>
      <w:r w:rsidRPr="00E05ADB">
        <w:rPr>
          <w:rFonts w:ascii="Arial" w:hAnsi="Arial"/>
          <w:noProof w:val="0"/>
          <w:rtl/>
        </w:rPr>
        <w:t xml:space="preserve">, מט(2) 369 {פמ"מ – 09.07.1995}) ולא רק לעניין גרימת נזק גוף. </w:t>
      </w:r>
    </w:p>
    <w:p w:rsidR="0013254E" w:rsidRPr="00E05AD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בראי הצעת החוק אשר אושרה בקריאה ראשונה זה מכבר (וראה: "</w:t>
      </w:r>
      <w:r w:rsidRPr="00E05ADB">
        <w:rPr>
          <w:rFonts w:ascii="Arial" w:hAnsi="Arial"/>
          <w:b/>
          <w:bCs/>
          <w:noProof w:val="0"/>
          <w:rtl/>
        </w:rPr>
        <w:t>הצעת חוק הורים וילדיהם</w:t>
      </w:r>
      <w:r w:rsidRPr="00E05ADB">
        <w:rPr>
          <w:rFonts w:ascii="Arial" w:hAnsi="Arial"/>
          <w:noProof w:val="0"/>
          <w:rtl/>
        </w:rPr>
        <w:t xml:space="preserve">", התשע"ה – 2014), מבין המשפט את זכותם של שני ההורים להיות בקשר עם יוצאי חלציהם, כזכות יסוד טבעית, אשר כונתה בשעתו על-ידי כבוד השופט מ. חשין </w:t>
      </w:r>
      <w:r w:rsidRPr="00E05ADB">
        <w:rPr>
          <w:rFonts w:ascii="Arial" w:hAnsi="Arial"/>
          <w:b/>
          <w:bCs/>
          <w:noProof w:val="0"/>
          <w:rtl/>
        </w:rPr>
        <w:t>"קול הדם"</w:t>
      </w:r>
      <w:r w:rsidRPr="00E05ADB">
        <w:rPr>
          <w:rFonts w:ascii="Arial" w:hAnsi="Arial"/>
          <w:noProof w:val="0"/>
          <w:rtl/>
        </w:rPr>
        <w:t xml:space="preserve"> (וראה: דנ"א 7015/94 </w:t>
      </w:r>
      <w:r w:rsidRPr="00E05ADB">
        <w:rPr>
          <w:rFonts w:ascii="Arial" w:hAnsi="Arial"/>
          <w:b/>
          <w:bCs/>
          <w:noProof w:val="0"/>
          <w:rtl/>
        </w:rPr>
        <w:t>היועץ המשפטי לממשלה נ' פלונית</w:t>
      </w:r>
      <w:r w:rsidRPr="00E05ADB">
        <w:rPr>
          <w:rFonts w:ascii="Arial" w:hAnsi="Arial"/>
          <w:noProof w:val="0"/>
          <w:rtl/>
        </w:rPr>
        <w:t xml:space="preserve">, נ(1) 48 {פמ"מ – 15.08.1995}). </w:t>
      </w:r>
    </w:p>
    <w:p w:rsidR="0013254E" w:rsidRPr="00E05AD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 xml:space="preserve">זכות זו זכתה באחרונה גם להגנה מוגברת, על דרך פסיקת בתי המשפט השונים, לעניין ניכור הורי (וראה: בע"מ 5451/19 </w:t>
      </w:r>
      <w:r w:rsidRPr="00E05ADB">
        <w:rPr>
          <w:rFonts w:ascii="Arial" w:hAnsi="Arial"/>
          <w:b/>
          <w:bCs/>
          <w:noProof w:val="0"/>
          <w:rtl/>
        </w:rPr>
        <w:t>פלונית נ' פלוני</w:t>
      </w:r>
      <w:r w:rsidRPr="00E05ADB">
        <w:rPr>
          <w:rFonts w:ascii="Arial" w:hAnsi="Arial"/>
          <w:noProof w:val="0"/>
          <w:rtl/>
        </w:rPr>
        <w:t xml:space="preserve"> {פמ"מ – 22.08.2019}).  </w:t>
      </w:r>
    </w:p>
    <w:p w:rsidR="0013254E" w:rsidRPr="00E05AD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 xml:space="preserve">אם תרצה תאמר כי חתירה של הורה אחד לניתוק הקשר בין קטין לבין הורהו השני וללא צידוק אינה רק בניגוד לטובת הקטין, אלא אף מעשה בלתי חוקי (וראה: תלה"מ (ת"א) 49688-02-19 </w:t>
      </w:r>
      <w:r w:rsidRPr="00E05ADB">
        <w:rPr>
          <w:rFonts w:ascii="Arial" w:hAnsi="Arial"/>
          <w:b/>
          <w:bCs/>
          <w:noProof w:val="0"/>
          <w:rtl/>
        </w:rPr>
        <w:t>ל. פ. נ' נ. פ</w:t>
      </w:r>
      <w:r w:rsidRPr="00E05ADB">
        <w:rPr>
          <w:rFonts w:ascii="Arial" w:hAnsi="Arial"/>
          <w:noProof w:val="0"/>
          <w:rtl/>
        </w:rPr>
        <w:t xml:space="preserve">. {פמ"מ – 10.03.2019}, כך קבעו גם בית המשפט העליון ובית המשפט המחוזי. </w:t>
      </w:r>
    </w:p>
    <w:p w:rsidR="0013254E" w:rsidRPr="00E05AD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sidRPr="00E05ADB">
        <w:rPr>
          <w:rFonts w:ascii="Arial" w:hAnsi="Arial"/>
          <w:noProof w:val="0"/>
          <w:rtl/>
        </w:rPr>
        <w:t xml:space="preserve">לעתים, גם אם אין ניתוק הקשר בין הורה לבין ילדו נכנס בגדר תחומי פקודת הנזיקין, אזי נכנס הוא בגדר מה שכיניתי בעבר </w:t>
      </w:r>
      <w:r w:rsidRPr="00E05ADB">
        <w:rPr>
          <w:rFonts w:ascii="Arial" w:hAnsi="Arial"/>
          <w:b/>
          <w:bCs/>
          <w:noProof w:val="0"/>
          <w:rtl/>
        </w:rPr>
        <w:t>"הפרת החוזה המשפחתי"</w:t>
      </w:r>
      <w:r w:rsidRPr="00E05ADB">
        <w:rPr>
          <w:rFonts w:ascii="Arial" w:hAnsi="Arial"/>
          <w:noProof w:val="0"/>
          <w:rtl/>
        </w:rPr>
        <w:t xml:space="preserve"> (וראה: תמ"ש (ת"א)</w:t>
      </w:r>
      <w:r w:rsidRPr="00E05ADB">
        <w:rPr>
          <w:rFonts w:ascii="Arial" w:hAnsi="Arial" w:hint="cs"/>
          <w:noProof w:val="0"/>
          <w:rtl/>
        </w:rPr>
        <w:t xml:space="preserve"> </w:t>
      </w:r>
      <w:r w:rsidRPr="00E05ADB">
        <w:rPr>
          <w:rFonts w:ascii="Arial" w:hAnsi="Arial"/>
          <w:noProof w:val="0"/>
          <w:rtl/>
        </w:rPr>
        <w:t xml:space="preserve">1353-09-10 </w:t>
      </w:r>
      <w:r w:rsidRPr="00E05ADB">
        <w:rPr>
          <w:rFonts w:ascii="Arial" w:hAnsi="Arial"/>
          <w:b/>
          <w:bCs/>
          <w:noProof w:val="0"/>
          <w:rtl/>
        </w:rPr>
        <w:t>י. כ. נ' ש. כ. ק</w:t>
      </w:r>
      <w:r w:rsidRPr="00E05ADB">
        <w:rPr>
          <w:rFonts w:ascii="Arial" w:hAnsi="Arial"/>
          <w:noProof w:val="0"/>
          <w:rtl/>
        </w:rPr>
        <w:t xml:space="preserve">. {פמ"מ – 27.09.2012}) על חובת ההגינות הגלומה בחוזה המשפחתי. </w:t>
      </w:r>
    </w:p>
    <w:p w:rsidR="0013254E" w:rsidRPr="003E626F" w:rsidRDefault="0013254E" w:rsidP="0013254E">
      <w:pPr>
        <w:pStyle w:val="af1"/>
        <w:ind w:left="567" w:hanging="567"/>
        <w:rPr>
          <w:rFonts w:ascii="Arial" w:hAnsi="Arial"/>
          <w:noProof w:val="0"/>
          <w:rtl/>
        </w:rPr>
      </w:pPr>
    </w:p>
    <w:p w:rsidR="0013254E" w:rsidRDefault="0013254E" w:rsidP="0013254E">
      <w:pPr>
        <w:spacing w:line="360" w:lineRule="auto"/>
        <w:ind w:left="567" w:hanging="567"/>
        <w:jc w:val="both"/>
        <w:rPr>
          <w:rFonts w:ascii="Arial" w:hAnsi="Arial"/>
          <w:b/>
          <w:bCs/>
          <w:noProof w:val="0"/>
          <w:u w:val="single"/>
        </w:rPr>
      </w:pPr>
      <w:r>
        <w:rPr>
          <w:rFonts w:ascii="Arial" w:hAnsi="Arial"/>
          <w:b/>
          <w:bCs/>
          <w:noProof w:val="0"/>
          <w:u w:val="single"/>
          <w:rtl/>
        </w:rPr>
        <w:t>ניכור הורי</w:t>
      </w:r>
    </w:p>
    <w:p w:rsidR="0013254E" w:rsidRDefault="0013254E" w:rsidP="0013254E">
      <w:pPr>
        <w:pStyle w:val="af1"/>
        <w:numPr>
          <w:ilvl w:val="0"/>
          <w:numId w:val="1"/>
        </w:numPr>
        <w:spacing w:line="360" w:lineRule="auto"/>
        <w:ind w:left="567" w:hanging="567"/>
        <w:jc w:val="both"/>
        <w:rPr>
          <w:rFonts w:ascii="Arial" w:hAnsi="Arial"/>
          <w:noProof w:val="0"/>
        </w:rPr>
      </w:pPr>
      <w:r w:rsidRPr="003E626F">
        <w:rPr>
          <w:rFonts w:ascii="Arial" w:hAnsi="Arial"/>
          <w:noProof w:val="0"/>
          <w:rtl/>
        </w:rPr>
        <w:t>על הניכור ההורי, בבחינת מעשה שלא ייעשה, מצאנו כבר בפסיקה (וראה: עמ"ש (ת"א)</w:t>
      </w:r>
      <w:r w:rsidRPr="003E626F">
        <w:rPr>
          <w:rFonts w:ascii="Arial" w:hAnsi="Arial" w:hint="cs"/>
          <w:noProof w:val="0"/>
          <w:rtl/>
        </w:rPr>
        <w:t xml:space="preserve"> </w:t>
      </w:r>
      <w:r w:rsidRPr="003E626F">
        <w:rPr>
          <w:rFonts w:ascii="Arial" w:hAnsi="Arial"/>
          <w:noProof w:val="0"/>
          <w:rtl/>
        </w:rPr>
        <w:t xml:space="preserve"> 60592-03-15 </w:t>
      </w:r>
      <w:r w:rsidRPr="003E626F">
        <w:rPr>
          <w:rFonts w:ascii="Arial" w:hAnsi="Arial"/>
          <w:b/>
          <w:bCs/>
          <w:noProof w:val="0"/>
          <w:rtl/>
        </w:rPr>
        <w:t>ק. ל. נ' י. פ.</w:t>
      </w:r>
      <w:r w:rsidRPr="003E626F">
        <w:rPr>
          <w:rFonts w:ascii="Arial" w:hAnsi="Arial"/>
          <w:noProof w:val="0"/>
          <w:rtl/>
        </w:rPr>
        <w:t xml:space="preserve"> {פמ"מ – 08.06.2015} כבוד השופט (כתוארו דאז) ש. שוחט, עע"מ (ת"א) 33/96 </w:t>
      </w:r>
      <w:r w:rsidRPr="003E626F">
        <w:rPr>
          <w:rFonts w:ascii="Arial" w:hAnsi="Arial"/>
          <w:b/>
          <w:bCs/>
          <w:noProof w:val="0"/>
          <w:rtl/>
        </w:rPr>
        <w:t>פלוני נ' פלונית</w:t>
      </w:r>
      <w:r w:rsidRPr="003E626F">
        <w:rPr>
          <w:rFonts w:ascii="Arial" w:hAnsi="Arial"/>
          <w:noProof w:val="0"/>
          <w:rtl/>
        </w:rPr>
        <w:t xml:space="preserve"> {פמ"מ – 25.07.1996}, ע"מ (ת"א) 90/97 </w:t>
      </w:r>
      <w:r w:rsidRPr="003E626F">
        <w:rPr>
          <w:rFonts w:ascii="Arial" w:hAnsi="Arial"/>
          <w:b/>
          <w:bCs/>
          <w:noProof w:val="0"/>
          <w:rtl/>
        </w:rPr>
        <w:t>מורן נ' מורן</w:t>
      </w:r>
      <w:r w:rsidRPr="003E626F">
        <w:rPr>
          <w:rFonts w:ascii="Arial" w:hAnsi="Arial"/>
          <w:noProof w:val="0"/>
          <w:rtl/>
        </w:rPr>
        <w:t xml:space="preserve"> {פמ"מ – 13.10.1998}, ע"א (ת"א) 2891/99 </w:t>
      </w:r>
      <w:r w:rsidRPr="003E626F">
        <w:rPr>
          <w:rFonts w:ascii="Arial" w:hAnsi="Arial"/>
          <w:b/>
          <w:bCs/>
          <w:noProof w:val="0"/>
          <w:rtl/>
        </w:rPr>
        <w:t xml:space="preserve">פלונית נ' פלוני </w:t>
      </w:r>
      <w:r w:rsidRPr="003E626F">
        <w:rPr>
          <w:rFonts w:ascii="Arial" w:hAnsi="Arial"/>
          <w:noProof w:val="0"/>
          <w:rtl/>
        </w:rPr>
        <w:t>{פמ"מ – 10.11.1999}).</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sidRPr="003E626F">
        <w:rPr>
          <w:rFonts w:ascii="Arial" w:hAnsi="Arial"/>
          <w:noProof w:val="0"/>
          <w:rtl/>
        </w:rPr>
        <w:t xml:space="preserve">וכך כתב, בין השאר, כבוד השופט ש. שוחט: </w:t>
      </w:r>
    </w:p>
    <w:p w:rsidR="0013254E" w:rsidRPr="003E626F" w:rsidRDefault="0013254E" w:rsidP="0013254E">
      <w:pPr>
        <w:spacing w:after="160" w:line="360" w:lineRule="auto"/>
        <w:ind w:left="567" w:hanging="567"/>
        <w:contextualSpacing/>
        <w:rPr>
          <w:rFonts w:ascii="Calibri" w:hAnsi="Calibri"/>
          <w:noProof w:val="0"/>
          <w:sz w:val="12"/>
          <w:szCs w:val="12"/>
        </w:rPr>
      </w:pPr>
    </w:p>
    <w:p w:rsidR="0013254E" w:rsidRDefault="0013254E" w:rsidP="0013254E">
      <w:pPr>
        <w:spacing w:after="160" w:line="360" w:lineRule="auto"/>
        <w:ind w:left="1417"/>
        <w:contextualSpacing/>
        <w:rPr>
          <w:rFonts w:ascii="Calibri" w:hAnsi="Calibri"/>
          <w:b/>
          <w:bCs/>
          <w:i/>
          <w:iCs/>
          <w:noProof w:val="0"/>
          <w:rtl/>
        </w:rPr>
      </w:pPr>
      <w:r>
        <w:rPr>
          <w:rFonts w:ascii="Calibri" w:hAnsi="Calibri"/>
          <w:b/>
          <w:bCs/>
          <w:i/>
          <w:iCs/>
          <w:noProof w:val="0"/>
          <w:rtl/>
        </w:rPr>
        <w:t>"</w:t>
      </w:r>
    </w:p>
    <w:p w:rsidR="0013254E" w:rsidRDefault="0013254E" w:rsidP="0013254E">
      <w:pPr>
        <w:numPr>
          <w:ilvl w:val="0"/>
          <w:numId w:val="5"/>
        </w:numPr>
        <w:spacing w:after="160" w:line="360" w:lineRule="auto"/>
        <w:ind w:left="1417" w:firstLine="0"/>
        <w:contextualSpacing/>
        <w:jc w:val="both"/>
        <w:rPr>
          <w:rFonts w:ascii="Calibri" w:hAnsi="Calibri"/>
          <w:b/>
          <w:bCs/>
          <w:i/>
          <w:iCs/>
          <w:noProof w:val="0"/>
        </w:rPr>
      </w:pPr>
      <w:r>
        <w:rPr>
          <w:rFonts w:ascii="Calibri" w:hAnsi="Calibri"/>
          <w:b/>
          <w:bCs/>
          <w:i/>
          <w:iCs/>
          <w:noProof w:val="0"/>
          <w:rtl/>
        </w:rPr>
        <w:t xml:space="preserve">להכרה פורמלית, מפי בית המשפט העליון, זכתה התופעה ברע"א 3009/02 </w:t>
      </w:r>
    </w:p>
    <w:p w:rsidR="0013254E" w:rsidRDefault="0013254E" w:rsidP="0013254E">
      <w:pPr>
        <w:spacing w:after="160" w:line="360" w:lineRule="auto"/>
        <w:ind w:left="2160"/>
        <w:contextualSpacing/>
        <w:jc w:val="both"/>
        <w:rPr>
          <w:rFonts w:ascii="Calibri" w:hAnsi="Calibri"/>
          <w:b/>
          <w:bCs/>
          <w:i/>
          <w:iCs/>
          <w:noProof w:val="0"/>
          <w:rtl/>
        </w:rPr>
      </w:pPr>
      <w:r>
        <w:rPr>
          <w:rFonts w:ascii="Calibri" w:hAnsi="Calibri"/>
          <w:b/>
          <w:bCs/>
          <w:i/>
          <w:iCs/>
          <w:noProof w:val="0"/>
          <w:rtl/>
        </w:rPr>
        <w:t>פלונית נ' פלוני, פ"ד נו (4) 872. בפרשה זו הוכרה הן התופעה של ניכור הורי, הן תסמונת הניכור ההורי כהגדרה מתודית של תופעה קיימת. בית המשפט קבע כי התופעה גורמת לסכנת ניתוק של הילדים מאחד ההורים בד בבד עם תלות יתר בהורה האחר. בית המשפט לא נדרש לאבחון התופעה והטיפול בה, הגם שמציין הוא את הוצאת הילד ממשמורתו של ההורה המנכר למשמורתו של ההורה המנוכר כפתרון המוצע על ידי גרדנר במקרים חמורים של התסמונת, ומשאיר זאת, בעקרון, לאנשי המקצוע. ההכרה לא שונתה גם בדיון הנוסף שהוגש על פסק הדין, הגם שהתוצאה התהפכה (דנ"א 4041/02 פלונית נ' פלוני, פ"ד נח (6) 246). בפסקי דין מאוחרים לפרשה זו לא נעלמה מעיני בית המשפט העליון הביקורת שנמתחה על תורתו של גרדנר (בע"מ 5579/07 פלוני נ' פלוני; 7.8.07). עם זה, בית המשפט העליון לא מצא לנכון לדחותה, אך הבהיר, כי יש לנקוט משנה זהירות בקביעה כי אכן היא מתקיימת במקרה נתון וכי "לשם קביעת המצב לאשורו יש להסתייע בבחינתם של הגורמים המקצועיים האמונים על כך, תוך בדיקה ביקורתית של בית המשפט את המסקנות שהוגשו לו" (בע"מ 6327/08 פלוני נ' פלונית, 10.9.08).</w:t>
      </w:r>
    </w:p>
    <w:p w:rsidR="0013254E" w:rsidRDefault="0013254E" w:rsidP="0013254E">
      <w:pPr>
        <w:spacing w:after="160" w:line="254" w:lineRule="auto"/>
        <w:ind w:left="1417"/>
        <w:contextualSpacing/>
        <w:rPr>
          <w:rFonts w:ascii="Calibri" w:hAnsi="Calibri"/>
          <w:b/>
          <w:bCs/>
          <w:i/>
          <w:iCs/>
          <w:noProof w:val="0"/>
          <w:rtl/>
        </w:rPr>
      </w:pPr>
    </w:p>
    <w:p w:rsidR="0013254E" w:rsidRDefault="0013254E" w:rsidP="0013254E">
      <w:pPr>
        <w:numPr>
          <w:ilvl w:val="0"/>
          <w:numId w:val="5"/>
        </w:numPr>
        <w:spacing w:after="160" w:line="360" w:lineRule="auto"/>
        <w:ind w:left="1417" w:firstLine="0"/>
        <w:contextualSpacing/>
        <w:jc w:val="both"/>
        <w:rPr>
          <w:rFonts w:ascii="Calibri" w:hAnsi="Calibri"/>
          <w:b/>
          <w:bCs/>
          <w:i/>
          <w:iCs/>
          <w:noProof w:val="0"/>
        </w:rPr>
      </w:pPr>
      <w:r>
        <w:rPr>
          <w:rFonts w:ascii="Calibri" w:hAnsi="Calibri"/>
          <w:b/>
          <w:bCs/>
          <w:i/>
          <w:iCs/>
          <w:noProof w:val="0"/>
          <w:rtl/>
        </w:rPr>
        <w:t xml:space="preserve">אשר לדרכי הטיפול - בהתאם לרמת התופעה – מהקל אל הכבד – קביעת </w:t>
      </w:r>
    </w:p>
    <w:p w:rsidR="0013254E" w:rsidRDefault="0013254E" w:rsidP="0013254E">
      <w:pPr>
        <w:spacing w:after="160" w:line="360" w:lineRule="auto"/>
        <w:ind w:left="2160"/>
        <w:contextualSpacing/>
        <w:jc w:val="both"/>
        <w:rPr>
          <w:rFonts w:ascii="Calibri" w:hAnsi="Calibri"/>
          <w:b/>
          <w:bCs/>
          <w:i/>
          <w:iCs/>
          <w:noProof w:val="0"/>
        </w:rPr>
      </w:pPr>
      <w:r>
        <w:rPr>
          <w:rFonts w:ascii="Calibri" w:hAnsi="Calibri"/>
          <w:b/>
          <w:bCs/>
          <w:i/>
          <w:iCs/>
          <w:noProof w:val="0"/>
          <w:rtl/>
        </w:rPr>
        <w:t>הסדרי משמורת מדויקים בין ההורים והקפדה על קיומם; טיפול בילד על ידי גורם חיצוני תוך השארת הילד בסביבתו של ההורה המנכר; ניתוק הילד לחלוטין מההורה המנכר והשמתו אצל אדם שלישי או העברתו להורה המנוכר (רע"א 3009/02 פלונית נ' פלוני, פ"ד נו (4) 872 וכן ע"א (ת"א) 2891/99 פלונית נ' פלוני, 10.11.99)."</w:t>
      </w:r>
    </w:p>
    <w:p w:rsidR="0013254E" w:rsidRPr="004475DD" w:rsidRDefault="0013254E" w:rsidP="0013254E">
      <w:pPr>
        <w:spacing w:line="360" w:lineRule="auto"/>
        <w:ind w:left="567" w:hanging="567"/>
        <w:jc w:val="both"/>
        <w:rPr>
          <w:rFonts w:ascii="Arial" w:hAnsi="Arial"/>
          <w:noProof w:val="0"/>
          <w:rtl/>
        </w:rPr>
      </w:pPr>
    </w:p>
    <w:p w:rsidR="0013254E" w:rsidRPr="003E626F" w:rsidRDefault="0013254E" w:rsidP="0013254E">
      <w:pPr>
        <w:pStyle w:val="af1"/>
        <w:numPr>
          <w:ilvl w:val="0"/>
          <w:numId w:val="1"/>
        </w:numPr>
        <w:spacing w:line="360" w:lineRule="auto"/>
        <w:ind w:left="567" w:hanging="567"/>
        <w:jc w:val="both"/>
        <w:rPr>
          <w:rFonts w:ascii="Arial" w:hAnsi="Arial"/>
          <w:noProof w:val="0"/>
        </w:rPr>
      </w:pPr>
      <w:r w:rsidRPr="003E626F">
        <w:rPr>
          <w:rFonts w:ascii="Arial" w:hAnsi="Arial"/>
          <w:noProof w:val="0"/>
          <w:rtl/>
        </w:rPr>
        <w:t xml:space="preserve">אתקדם ואומר כי זכויות ההורות בבחינת "קול הדם" (וראה: דנ"א 1892/11 </w:t>
      </w:r>
      <w:r w:rsidRPr="003E626F">
        <w:rPr>
          <w:rFonts w:ascii="Arial" w:hAnsi="Arial"/>
          <w:b/>
          <w:bCs/>
          <w:noProof w:val="0"/>
          <w:rtl/>
        </w:rPr>
        <w:t>היועץ המשפטי לממשלה נ' פלונית</w:t>
      </w:r>
      <w:r w:rsidRPr="003E626F">
        <w:rPr>
          <w:rFonts w:ascii="Arial" w:hAnsi="Arial"/>
          <w:noProof w:val="0"/>
          <w:rtl/>
        </w:rPr>
        <w:t xml:space="preserve">, סד(3) 356 {פמ"מ – 22.5.2011}), אינן רק זכויות יסוד (וראה חוק יסוד כבוד האדם וחירותו), הן גם נובעות מחוק ספציפי, לאמור חוק הכשרות המשפטית והאפוטרופסות, תשכ"ב - 1962 הקובע, בין השאר, כך: </w:t>
      </w:r>
    </w:p>
    <w:p w:rsidR="0013254E" w:rsidRDefault="0013254E" w:rsidP="0013254E">
      <w:pPr>
        <w:pStyle w:val="af1"/>
        <w:spacing w:line="360" w:lineRule="auto"/>
        <w:ind w:left="567" w:hanging="567"/>
        <w:jc w:val="both"/>
        <w:rPr>
          <w:rFonts w:ascii="Arial" w:hAnsi="Arial"/>
          <w:noProof w:val="0"/>
        </w:rPr>
      </w:pPr>
    </w:p>
    <w:p w:rsidR="0013254E" w:rsidRPr="003E626F" w:rsidRDefault="0013254E" w:rsidP="0013254E">
      <w:pPr>
        <w:spacing w:line="360" w:lineRule="auto"/>
        <w:ind w:left="1437" w:hanging="870"/>
        <w:jc w:val="both"/>
        <w:rPr>
          <w:rFonts w:ascii="Arial" w:hAnsi="Arial"/>
          <w:b/>
          <w:bCs/>
          <w:i/>
          <w:iCs/>
          <w:noProof w:val="0"/>
        </w:rPr>
      </w:pPr>
      <w:r w:rsidRPr="003E626F">
        <w:rPr>
          <w:rFonts w:ascii="Arial" w:hAnsi="Arial"/>
          <w:b/>
          <w:bCs/>
          <w:i/>
          <w:iCs/>
          <w:noProof w:val="0"/>
          <w:rtl/>
        </w:rPr>
        <w:t>"15.</w:t>
      </w:r>
      <w:r w:rsidRPr="003E626F">
        <w:rPr>
          <w:rFonts w:ascii="Arial" w:hAnsi="Arial"/>
          <w:b/>
          <w:bCs/>
          <w:i/>
          <w:iCs/>
          <w:noProof w:val="0"/>
          <w:rtl/>
        </w:rPr>
        <w:tab/>
        <w:t>אפוטרופסות ההורים כוללת את החובה והזכות לדאוג לצרכי הקטין, לרבות חינוכו, לימודיו, הכשרתו לעבודה ולמשלח-יד ועבודתו, וכן שמירת נכסיו, ניהולם ופיתוחם; וצמודה לה הרשות להחזיק בקטין ולקבוע את מקום מגוריו, והסמכות לייצגו".</w:t>
      </w:r>
    </w:p>
    <w:p w:rsidR="0013254E" w:rsidRDefault="0013254E" w:rsidP="0013254E">
      <w:pPr>
        <w:spacing w:line="360" w:lineRule="auto"/>
        <w:ind w:left="567" w:hanging="567"/>
        <w:jc w:val="both"/>
        <w:rPr>
          <w:rFonts w:ascii="Arial" w:hAnsi="Arial"/>
          <w:i/>
          <w:iCs/>
          <w:noProof w:val="0"/>
          <w:rtl/>
        </w:rPr>
      </w:pPr>
    </w:p>
    <w:p w:rsidR="0013254E" w:rsidRPr="00BB67EA" w:rsidRDefault="0013254E" w:rsidP="0013254E">
      <w:pPr>
        <w:pStyle w:val="af1"/>
        <w:numPr>
          <w:ilvl w:val="0"/>
          <w:numId w:val="1"/>
        </w:numPr>
        <w:spacing w:line="360" w:lineRule="auto"/>
        <w:ind w:left="567" w:hanging="567"/>
        <w:jc w:val="both"/>
        <w:rPr>
          <w:rFonts w:ascii="Arial" w:hAnsi="Arial"/>
          <w:i/>
          <w:noProof w:val="0"/>
        </w:rPr>
      </w:pPr>
      <w:r w:rsidRPr="003E626F">
        <w:rPr>
          <w:rFonts w:ascii="Arial" w:hAnsi="Arial"/>
          <w:noProof w:val="0"/>
          <w:rtl/>
        </w:rPr>
        <w:t xml:space="preserve">על הזכות והחובה להיות הורה נוסף כמובן עיקרון העל המלכותי של טובת הילד, וטובת קטין אינה שלא להיות בקשר עם שני הוריו באין צידוק של ממש לכך, אלא להימנע מהורות פתוגנית על נזקיה (וראה: תלה"מ (ת"א) 49688-02-19 </w:t>
      </w:r>
      <w:r w:rsidRPr="003E626F">
        <w:rPr>
          <w:rFonts w:ascii="Arial" w:hAnsi="Arial"/>
          <w:b/>
          <w:bCs/>
          <w:noProof w:val="0"/>
          <w:rtl/>
        </w:rPr>
        <w:t>ל. פ. נ' נ. ב. פ.</w:t>
      </w:r>
      <w:r w:rsidRPr="003E626F">
        <w:rPr>
          <w:rFonts w:ascii="Arial" w:hAnsi="Arial"/>
          <w:noProof w:val="0"/>
          <w:rtl/>
        </w:rPr>
        <w:t xml:space="preserve"> {פמ"מ – 22.08.2019}) וכן ראה (ארגון הבריאות העולמי</w:t>
      </w:r>
      <w:r w:rsidRPr="00BB67EA">
        <w:rPr>
          <w:rFonts w:ascii="Arial" w:hAnsi="Arial"/>
          <w:noProof w:val="0"/>
          <w:rtl/>
        </w:rPr>
        <w:t xml:space="preserve">). </w:t>
      </w:r>
      <w:r w:rsidRPr="00BB67EA">
        <w:rPr>
          <w:rFonts w:ascii="Arial" w:hAnsi="Arial" w:hint="cs"/>
          <w:i/>
          <w:noProof w:val="0"/>
          <w:rtl/>
        </w:rPr>
        <w:t>ואולם בכאן, לא השתכנעתי כי דרך התנהלות התובע עולה באמת בקנה אחד עם טובת בנו.</w:t>
      </w:r>
    </w:p>
    <w:p w:rsidR="0013254E" w:rsidRDefault="0013254E" w:rsidP="0013254E">
      <w:pPr>
        <w:pStyle w:val="af1"/>
        <w:spacing w:line="360" w:lineRule="auto"/>
        <w:ind w:left="567" w:hanging="567"/>
        <w:jc w:val="both"/>
        <w:rPr>
          <w:rFonts w:ascii="Arial" w:hAnsi="Arial"/>
          <w:i/>
          <w:iCs/>
          <w:noProof w:val="0"/>
        </w:rPr>
      </w:pPr>
    </w:p>
    <w:p w:rsidR="0013254E" w:rsidRDefault="0013254E" w:rsidP="0013254E">
      <w:pPr>
        <w:pStyle w:val="af1"/>
        <w:numPr>
          <w:ilvl w:val="0"/>
          <w:numId w:val="1"/>
        </w:numPr>
        <w:spacing w:line="360" w:lineRule="auto"/>
        <w:ind w:left="567" w:hanging="567"/>
        <w:jc w:val="both"/>
        <w:rPr>
          <w:rFonts w:ascii="Arial" w:hAnsi="Arial"/>
          <w:i/>
          <w:iCs/>
          <w:noProof w:val="0"/>
        </w:rPr>
      </w:pPr>
      <w:r w:rsidRPr="003E626F">
        <w:rPr>
          <w:rFonts w:ascii="Arial" w:hAnsi="Arial"/>
          <w:noProof w:val="0"/>
          <w:rtl/>
        </w:rPr>
        <w:t xml:space="preserve">הדברים מביאים אותי לפסק דינו של כבוד סגן הנשיא (כתוארו דאז), השופט נ. שילה (ראה: תמ"ש (ת"א) 3970-06-15 </w:t>
      </w:r>
      <w:r w:rsidRPr="003E626F">
        <w:rPr>
          <w:rFonts w:ascii="Arial" w:hAnsi="Arial"/>
          <w:b/>
          <w:bCs/>
          <w:noProof w:val="0"/>
          <w:rtl/>
        </w:rPr>
        <w:t>פלונית נ' פלונית</w:t>
      </w:r>
      <w:r w:rsidRPr="003E626F">
        <w:rPr>
          <w:rFonts w:ascii="Arial" w:hAnsi="Arial"/>
          <w:noProof w:val="0"/>
          <w:rtl/>
        </w:rPr>
        <w:t xml:space="preserve"> {פמ"מ – 26.08.2016)}, שם חויבה אם בפיצוי בסך 36,000 ₪ בגין רכיב עוגמת הנפש אשר גרם ניכור הורי. </w:t>
      </w:r>
    </w:p>
    <w:p w:rsidR="0013254E" w:rsidRPr="003E626F" w:rsidRDefault="0013254E" w:rsidP="0013254E">
      <w:pPr>
        <w:pStyle w:val="af1"/>
        <w:ind w:left="567" w:hanging="567"/>
        <w:rPr>
          <w:rFonts w:ascii="Arial" w:hAnsi="Arial"/>
          <w:i/>
          <w:iCs/>
          <w:noProof w:val="0"/>
          <w:rtl/>
        </w:rPr>
      </w:pPr>
    </w:p>
    <w:p w:rsidR="0013254E" w:rsidRPr="003E626F" w:rsidRDefault="0013254E" w:rsidP="0013254E">
      <w:pPr>
        <w:pStyle w:val="af1"/>
        <w:numPr>
          <w:ilvl w:val="0"/>
          <w:numId w:val="1"/>
        </w:numPr>
        <w:spacing w:line="360" w:lineRule="auto"/>
        <w:ind w:left="567" w:hanging="567"/>
        <w:jc w:val="both"/>
        <w:rPr>
          <w:rFonts w:ascii="Arial" w:hAnsi="Arial"/>
          <w:i/>
          <w:iCs/>
          <w:noProof w:val="0"/>
        </w:rPr>
      </w:pPr>
      <w:r w:rsidRPr="003E626F">
        <w:rPr>
          <w:rFonts w:ascii="Arial" w:hAnsi="Arial"/>
          <w:noProof w:val="0"/>
          <w:rtl/>
        </w:rPr>
        <w:t xml:space="preserve">וכך כתב כבוד השופט נ. שילה, בין השאר: </w:t>
      </w:r>
    </w:p>
    <w:p w:rsidR="0013254E" w:rsidRPr="003E626F" w:rsidRDefault="0013254E" w:rsidP="0013254E">
      <w:pPr>
        <w:spacing w:line="360" w:lineRule="auto"/>
        <w:ind w:left="567" w:hanging="567"/>
        <w:jc w:val="both"/>
        <w:rPr>
          <w:rFonts w:ascii="Arial" w:hAnsi="Arial"/>
          <w:noProof w:val="0"/>
          <w:sz w:val="16"/>
          <w:szCs w:val="16"/>
        </w:rPr>
      </w:pPr>
    </w:p>
    <w:p w:rsidR="0013254E" w:rsidRPr="003E626F" w:rsidRDefault="0013254E" w:rsidP="0013254E">
      <w:pPr>
        <w:spacing w:line="360" w:lineRule="auto"/>
        <w:ind w:left="1842" w:hanging="425"/>
        <w:jc w:val="both"/>
        <w:rPr>
          <w:rFonts w:ascii="Arial" w:hAnsi="Arial"/>
          <w:b/>
          <w:bCs/>
          <w:i/>
          <w:iCs/>
          <w:noProof w:val="0"/>
          <w:rtl/>
        </w:rPr>
      </w:pPr>
      <w:r w:rsidRPr="003E626F">
        <w:rPr>
          <w:rFonts w:ascii="Arial" w:hAnsi="Arial"/>
          <w:b/>
          <w:bCs/>
          <w:i/>
          <w:iCs/>
          <w:noProof w:val="0"/>
          <w:rtl/>
        </w:rPr>
        <w:t>"</w:t>
      </w:r>
      <w:r w:rsidRPr="003E626F">
        <w:rPr>
          <w:rFonts w:ascii="Arial" w:hAnsi="Arial"/>
          <w:b/>
          <w:bCs/>
          <w:i/>
          <w:iCs/>
          <w:rtl/>
        </w:rPr>
        <w:t>1.</w:t>
      </w:r>
      <w:r w:rsidRPr="003E626F">
        <w:rPr>
          <w:rFonts w:ascii="Arial" w:hAnsi="Arial"/>
          <w:b/>
          <w:bCs/>
          <w:i/>
          <w:iCs/>
          <w:rtl/>
        </w:rPr>
        <w:tab/>
        <w:t xml:space="preserve">בתמ"ש 13993/02 </w:t>
      </w:r>
      <w:r w:rsidRPr="003E626F">
        <w:rPr>
          <w:rFonts w:ascii="Arial" w:hAnsi="Arial"/>
          <w:b/>
          <w:bCs/>
          <w:i/>
          <w:iCs/>
          <w:u w:val="single"/>
          <w:rtl/>
        </w:rPr>
        <w:t>פלוני נ' פלמונית</w:t>
      </w:r>
      <w:r w:rsidRPr="003E626F">
        <w:rPr>
          <w:rFonts w:ascii="Arial" w:hAnsi="Arial"/>
          <w:b/>
          <w:bCs/>
          <w:i/>
          <w:iCs/>
          <w:rtl/>
        </w:rPr>
        <w:t xml:space="preserve"> (15.2.07) קבע כב' השופט אלבז, כי כאשר אם גורמת לניכור הורי ולסרבנות קשר, היא עוולת בעוולת רשלנות והפרת חובה חקוקה. נפסק  בין היתר כי:</w:t>
      </w:r>
    </w:p>
    <w:p w:rsidR="0013254E" w:rsidRPr="003E626F" w:rsidRDefault="0013254E" w:rsidP="0013254E">
      <w:pPr>
        <w:spacing w:line="360" w:lineRule="auto"/>
        <w:ind w:left="1842" w:hanging="425"/>
        <w:jc w:val="both"/>
        <w:rPr>
          <w:rFonts w:ascii="Arial" w:hAnsi="Arial"/>
          <w:b/>
          <w:bCs/>
          <w:i/>
          <w:iCs/>
        </w:rPr>
      </w:pPr>
    </w:p>
    <w:p w:rsidR="0013254E" w:rsidRPr="003E626F" w:rsidRDefault="0013254E" w:rsidP="0013254E">
      <w:pPr>
        <w:spacing w:line="360" w:lineRule="auto"/>
        <w:ind w:left="2880"/>
        <w:jc w:val="both"/>
        <w:rPr>
          <w:rFonts w:ascii="Arial" w:hAnsi="Arial"/>
          <w:b/>
          <w:bCs/>
          <w:i/>
          <w:iCs/>
          <w:rtl/>
        </w:rPr>
      </w:pPr>
      <w:r w:rsidRPr="003E626F">
        <w:rPr>
          <w:rFonts w:ascii="Arial" w:hAnsi="Arial"/>
          <w:b/>
          <w:bCs/>
          <w:i/>
          <w:iCs/>
          <w:rtl/>
        </w:rPr>
        <w:lastRenderedPageBreak/>
        <w:t>"... אין ספק שבמקרה בו  נמנעים מפגשים בין  הורה לבין בנו או בתו הקטינים, עלול הדבר לפגוע בקשר ההורי ובמקרים חמורים יותר, אף להוביל לניתוק הקשר הטבעי ביניהם. במקרים אלה, הנזק לקשר הורה – ילד, עלול אף להיות בלתי הפיך, דבר המונע מההורה למלא את תפקידו הטבעי כלפי יוצא חלציו. כאשר מניעת הקשר הינה זדונית ונעשית במכוון על ידי ההורה השני, קל וחומר שיש לצפות את התרחשות הנזק... בהעדר סיבה מוצדקת, על הנתבעת לאפשר לתובע להיפגש עם הקטינה ולהביא לקשר נורמטיבי ביניהם... הקטינה החלה לפתח כלפי התובע סרבנות... מונעת ממנו מידע על חייה, מסרבת לקבל ממנו מתנות ולטענת האם, אף מסרבת להיפגש עמו. אין ספק שדברים אלה הסבו לתובע עוגמת נפש... עומדת לתובע עילה נזיקית כנגד הנתבעת או מחמת רשלנותה או מחמת הפרת חובה חקוקה".</w:t>
      </w:r>
    </w:p>
    <w:p w:rsidR="0013254E" w:rsidRPr="003E626F"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2.</w:t>
      </w:r>
      <w:r>
        <w:rPr>
          <w:rFonts w:ascii="Arial" w:hAnsi="Arial"/>
          <w:b/>
          <w:bCs/>
          <w:i/>
          <w:iCs/>
          <w:rtl/>
        </w:rPr>
        <w:tab/>
        <w:t>בית המשפט אף מתייחס לטענה, כי אם האם תצטרך לשלם פיצויים לאב, יישארו לאם פחות כספים למחייתה של הקטינה והקטינה תפגע. כב' השופט אלבז דוחה טענה זו וקובע כי:</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2478"/>
        <w:jc w:val="both"/>
        <w:rPr>
          <w:rFonts w:ascii="Arial" w:hAnsi="Arial"/>
          <w:b/>
          <w:bCs/>
          <w:i/>
          <w:iCs/>
          <w:rtl/>
        </w:rPr>
      </w:pPr>
      <w:r>
        <w:rPr>
          <w:rFonts w:ascii="Arial" w:hAnsi="Arial"/>
          <w:b/>
          <w:bCs/>
          <w:i/>
          <w:iCs/>
          <w:rtl/>
        </w:rPr>
        <w:t>"התופעה של מניעת קשר בין הורה לילדיו, אשר כונתה לעיתים בפסיקה כ"תופעת הניכור ההורי", היא רעה חולה שיש לעקור מן השורש. לעיתים, הפגיעה בכיסו של ההורה המנכר, היא הדרך היחידה בה ניתן להתמודד עם בעיה זו ועל כן, קבלת עמדתה של הנתבעת בעניין זה, תבטל אפשרות להשתמש בכלי המעשי היחיד הקיים".</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3.</w:t>
      </w:r>
      <w:r>
        <w:rPr>
          <w:rFonts w:ascii="Arial" w:hAnsi="Arial"/>
          <w:b/>
          <w:bCs/>
          <w:i/>
          <w:iCs/>
          <w:rtl/>
        </w:rPr>
        <w:tab/>
        <w:t>במקרה הנ"ל נקבע, כי לאב אשם תורם ולכן נפסקו לטובתו  פיצויים בסך של 10,000 ₪ בלבד.</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4.</w:t>
      </w:r>
      <w:r>
        <w:rPr>
          <w:rFonts w:ascii="Arial" w:hAnsi="Arial"/>
          <w:b/>
          <w:bCs/>
          <w:i/>
          <w:iCs/>
          <w:rtl/>
        </w:rPr>
        <w:tab/>
        <w:t xml:space="preserve">יש שסוברים כי יש להשתמש בכלי של הפיצוי הנזיקי במשורה. כב' השופט ויצמן ציין בתמ"ש 658-02-10 </w:t>
      </w:r>
      <w:r>
        <w:rPr>
          <w:rFonts w:ascii="Arial" w:hAnsi="Arial"/>
          <w:b/>
          <w:bCs/>
          <w:i/>
          <w:iCs/>
          <w:u w:val="single"/>
          <w:rtl/>
        </w:rPr>
        <w:t>ס.ש. נ' י.ק.</w:t>
      </w:r>
      <w:r>
        <w:rPr>
          <w:rFonts w:ascii="Arial" w:hAnsi="Arial"/>
          <w:b/>
          <w:bCs/>
          <w:i/>
          <w:iCs/>
          <w:rtl/>
        </w:rPr>
        <w:t xml:space="preserve"> (15.12.11) כי:</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2478"/>
        <w:jc w:val="both"/>
        <w:rPr>
          <w:rFonts w:ascii="Arial" w:hAnsi="Arial"/>
          <w:b/>
          <w:bCs/>
          <w:i/>
          <w:iCs/>
          <w:rtl/>
        </w:rPr>
      </w:pPr>
      <w:r>
        <w:rPr>
          <w:rFonts w:ascii="Arial" w:hAnsi="Arial"/>
          <w:b/>
          <w:bCs/>
          <w:i/>
          <w:iCs/>
          <w:rtl/>
        </w:rPr>
        <w:t xml:space="preserve">"על אף שדרכן של תביעות נזיקיות אינה נעצרת על מפתנו של בית המשפט לענייני משפחה, הרי שאין לאפשר להן מסלול אוטומטי ו"חלק" ועל בית המשפט לדקדק ולבחון היטב, נוכח טיבו וטיבעו של </w:t>
      </w:r>
      <w:r>
        <w:rPr>
          <w:rFonts w:ascii="Arial" w:hAnsi="Arial"/>
          <w:b/>
          <w:bCs/>
          <w:i/>
          <w:iCs/>
          <w:rtl/>
        </w:rPr>
        <w:lastRenderedPageBreak/>
        <w:t>התא המשפחתי, האם מתן הסעד הנזיקי הינה הדרך הראויה להתמודד עם התובענה שהונחה לפתחו. כאשר עסקינן בתביעה נזיקית שעניינה נזק אשר נגרם כתוצאה מהפרת הסדרי ראייה, נראה כי איזון נכון בין האינטרסים הנזכרים לעיל, יהא במתן סעד מתוך דיני נזיקין אך ורק באם עסקינן בהפרה משמעותית וגסה של הסדרי הראייה אשר נעשתה בזדון ותוך קיפוח מוחלט של טובת הקטין וזכויותיו של ההורה האחר, וכן אחר שנוודא כי אין בנמצא סעד חלופי אשר יהא בו מחד לרפא את הנזק  ומאידך, לא לפגוע פגיעה  יתרה במרקם המשפחתי".</w:t>
      </w:r>
    </w:p>
    <w:p w:rsidR="0013254E" w:rsidRDefault="0013254E" w:rsidP="0013254E">
      <w:pPr>
        <w:spacing w:line="360" w:lineRule="auto"/>
        <w:ind w:left="1842" w:hanging="425"/>
        <w:jc w:val="both"/>
        <w:rPr>
          <w:rFonts w:ascii="Arial" w:hAnsi="Arial"/>
          <w:b/>
          <w:bCs/>
          <w:i/>
          <w:iCs/>
          <w:rtl/>
        </w:rPr>
      </w:pPr>
      <w:r>
        <w:rPr>
          <w:rFonts w:ascii="Arial" w:hAnsi="Arial"/>
          <w:b/>
          <w:bCs/>
          <w:i/>
          <w:iCs/>
          <w:rtl/>
        </w:rPr>
        <w:tab/>
      </w:r>
    </w:p>
    <w:p w:rsidR="0013254E" w:rsidRDefault="0013254E" w:rsidP="0013254E">
      <w:pPr>
        <w:spacing w:line="360" w:lineRule="auto"/>
        <w:ind w:left="1842"/>
        <w:jc w:val="both"/>
        <w:rPr>
          <w:rFonts w:ascii="Arial" w:hAnsi="Arial"/>
          <w:b/>
          <w:bCs/>
          <w:i/>
          <w:iCs/>
          <w:rtl/>
        </w:rPr>
      </w:pPr>
      <w:r>
        <w:rPr>
          <w:rFonts w:ascii="Arial" w:hAnsi="Arial"/>
          <w:b/>
          <w:bCs/>
          <w:i/>
          <w:iCs/>
          <w:rtl/>
        </w:rPr>
        <w:t>ראו גם: ד"ר בנימין שמואלי, תביעות נזיקין בין בני זוג – התדיינות או חסינות, מחקרי משפט כז' (2011)  עמ' 139.</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jc w:val="both"/>
        <w:rPr>
          <w:rFonts w:ascii="Arial" w:hAnsi="Arial"/>
          <w:b/>
          <w:bCs/>
          <w:i/>
          <w:iCs/>
          <w:rtl/>
        </w:rPr>
      </w:pPr>
      <w:r>
        <w:rPr>
          <w:rFonts w:ascii="Arial" w:hAnsi="Arial"/>
          <w:b/>
          <w:bCs/>
          <w:i/>
          <w:iCs/>
          <w:rtl/>
        </w:rPr>
        <w:t>וכן: ד"ר בנימין שמואלי, מפגשים ועימותים בין דיני הנזיקין לדיני המשפחה הדתיים והאזרחיים: המעגלים השונים של תביעות הנזיקין במשפחה ,אסופת מאמרים במלאת 20 שנה להקמת בתי המשפט למשפחה בישראל (דצמבר 2015), עמ' 207.</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5.</w:t>
      </w:r>
      <w:r>
        <w:rPr>
          <w:rFonts w:ascii="Arial" w:hAnsi="Arial"/>
          <w:b/>
          <w:bCs/>
          <w:i/>
          <w:iCs/>
          <w:rtl/>
        </w:rPr>
        <w:tab/>
        <w:t xml:space="preserve">על אף הצורך בשימוש בכלי הנזיקי בזהירות, לא נרתעו בתי המשפט מלפסוק פיצויים להורה שנפגע מניכור הורי שגרם ההורה השני. לדוגמא, כב' השופט מרכוס קבע בתמ"ש 6423/02 </w:t>
      </w:r>
      <w:r>
        <w:rPr>
          <w:rFonts w:ascii="Arial" w:hAnsi="Arial"/>
          <w:b/>
          <w:bCs/>
          <w:i/>
          <w:iCs/>
          <w:u w:val="single"/>
          <w:rtl/>
        </w:rPr>
        <w:t>א.ל. נ' ש.ה.</w:t>
      </w:r>
      <w:r>
        <w:rPr>
          <w:rFonts w:ascii="Arial" w:hAnsi="Arial"/>
          <w:b/>
          <w:bCs/>
          <w:i/>
          <w:iCs/>
          <w:rtl/>
        </w:rPr>
        <w:t xml:space="preserve"> (20.11.11) כי במקרה שבו האם תרמה תרומה מסוימת לניכור ההורי, כאשר מנעה מלעודד קשר סדיר של הילדים עם האב, לא עדכנה את האב במצבם הרפואי של הקטינים ובמצבם החינוכי במוסדות הלימוד ולא הודיעה לו על מעברה לעיר אחרת, מגיעים לאב פיצויים. באותו מקרה נקבע, כי לא הוכח שהשתת הפיצויים תגרום לפגיעה בקטינים ומאידך נקבעה  אחריות תורמת של האב בשיעור של 25% ונפסקו פיצויים בסך של 15,000 ₪ שישולמו בעשרים תשלומים שווים ורצופים.</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6.</w:t>
      </w:r>
      <w:r>
        <w:rPr>
          <w:rFonts w:ascii="Arial" w:hAnsi="Arial"/>
          <w:b/>
          <w:bCs/>
          <w:i/>
          <w:iCs/>
          <w:rtl/>
        </w:rPr>
        <w:tab/>
        <w:t xml:space="preserve">כמו כן, כב' השופטת מימון בתמ"ש 48750-07-12 </w:t>
      </w:r>
      <w:r>
        <w:rPr>
          <w:rFonts w:ascii="Arial" w:hAnsi="Arial"/>
          <w:b/>
          <w:bCs/>
          <w:i/>
          <w:iCs/>
          <w:u w:val="single"/>
          <w:rtl/>
        </w:rPr>
        <w:t>י.ש. נ' צ.כ</w:t>
      </w:r>
      <w:r>
        <w:rPr>
          <w:rFonts w:ascii="Arial" w:hAnsi="Arial"/>
          <w:b/>
          <w:bCs/>
          <w:i/>
          <w:iCs/>
          <w:rtl/>
        </w:rPr>
        <w:t xml:space="preserve"> (19.2.14) פסקה פיצויים במקרה של ניכור הורי, בסך של 50,000 ₪ בגין עוגמת נפש. נקבע באותו מקרה כי: </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2478"/>
        <w:jc w:val="both"/>
        <w:rPr>
          <w:rFonts w:ascii="Arial" w:hAnsi="Arial"/>
          <w:b/>
          <w:bCs/>
          <w:i/>
          <w:iCs/>
          <w:rtl/>
        </w:rPr>
      </w:pPr>
      <w:r>
        <w:rPr>
          <w:rFonts w:ascii="Arial" w:hAnsi="Arial"/>
          <w:b/>
          <w:bCs/>
          <w:i/>
          <w:iCs/>
          <w:rtl/>
        </w:rPr>
        <w:t xml:space="preserve">"אף לעניין הקשר בין הורה לילדו, שכן קשר זה הוא דבר כה בסיסי ומובן מאליו ומצוי ברובד נפשי כה עמוק, שלא יכול להיות ספק בכך </w:t>
      </w:r>
      <w:r>
        <w:rPr>
          <w:rFonts w:ascii="Arial" w:hAnsi="Arial"/>
          <w:b/>
          <w:bCs/>
          <w:i/>
          <w:iCs/>
          <w:rtl/>
        </w:rPr>
        <w:lastRenderedPageBreak/>
        <w:t>שהורה אשר קשר זה נמנע ממנו, סובל נזק רגשי כתוצאה מכך, וזאת גם מבלי שיש צורך בהוכחה על עצם קיומו של הנזק".</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7.</w:t>
      </w:r>
      <w:r>
        <w:rPr>
          <w:rFonts w:ascii="Arial" w:hAnsi="Arial"/>
          <w:b/>
          <w:bCs/>
          <w:i/>
          <w:iCs/>
          <w:rtl/>
        </w:rPr>
        <w:tab/>
        <w:t xml:space="preserve">כפי שציינה כב' השופטת בן דור ליבל בתמ"ש 9120-02-13 </w:t>
      </w:r>
      <w:r>
        <w:rPr>
          <w:rFonts w:ascii="Arial" w:hAnsi="Arial"/>
          <w:b/>
          <w:bCs/>
          <w:i/>
          <w:iCs/>
          <w:u w:val="single"/>
          <w:rtl/>
        </w:rPr>
        <w:t>ר' נ' ו'</w:t>
      </w:r>
      <w:r>
        <w:rPr>
          <w:rFonts w:ascii="Arial" w:hAnsi="Arial"/>
          <w:b/>
          <w:bCs/>
          <w:i/>
          <w:iCs/>
          <w:rtl/>
        </w:rPr>
        <w:t xml:space="preserve"> (ניתן ביום 2.4.15): </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2478"/>
        <w:jc w:val="both"/>
        <w:rPr>
          <w:rFonts w:ascii="Arial" w:hAnsi="Arial"/>
          <w:b/>
          <w:bCs/>
          <w:i/>
          <w:iCs/>
          <w:rtl/>
        </w:rPr>
      </w:pPr>
      <w:r>
        <w:rPr>
          <w:rFonts w:ascii="Arial" w:hAnsi="Arial"/>
          <w:b/>
          <w:bCs/>
          <w:i/>
          <w:iCs/>
          <w:rtl/>
        </w:rPr>
        <w:t>"מניעת קשר בין הורה לילדיו כתוצאה מהסתתם נגדו היא תופעה פסולה וחמורה מאין כמוה הפוגעת במישרין בטובת הקטין וההורה המנוכר ובזכויותיהם הבסיסיות והיסודיות. היא כרוכה בפגיעה קשה וכואבת בהורה המנוכר, הנותר במקרים קיצוניים, כמו שטוען התובע כאן "כהורה שכולו עול בחיי ילדיו". כבודו ורגשותיו נפגעים, וזכותו לחיי משפחה נפגעת אף היא. משכך מצדיקה היא התערבות משפטית כדי למגרה".</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jc w:val="both"/>
        <w:rPr>
          <w:rFonts w:ascii="Arial" w:hAnsi="Arial"/>
          <w:b/>
          <w:bCs/>
          <w:i/>
          <w:iCs/>
          <w:rtl/>
        </w:rPr>
      </w:pPr>
      <w:r>
        <w:rPr>
          <w:rFonts w:ascii="Arial" w:hAnsi="Arial"/>
          <w:b/>
          <w:bCs/>
          <w:i/>
          <w:iCs/>
          <w:rtl/>
        </w:rPr>
        <w:t xml:space="preserve">ראו גם: רמ"ש 21786-07-15 </w:t>
      </w:r>
      <w:r>
        <w:rPr>
          <w:rFonts w:ascii="Arial" w:hAnsi="Arial"/>
          <w:b/>
          <w:bCs/>
          <w:i/>
          <w:iCs/>
          <w:u w:val="single"/>
          <w:rtl/>
        </w:rPr>
        <w:t>פלוני נ' אלמונית</w:t>
      </w:r>
      <w:r>
        <w:rPr>
          <w:rFonts w:ascii="Arial" w:hAnsi="Arial"/>
          <w:b/>
          <w:bCs/>
          <w:i/>
          <w:iCs/>
          <w:rtl/>
        </w:rPr>
        <w:t xml:space="preserve"> (ניתן ביום 28.10.15 ע"י כב' סגן הנשיא השופט משה דרורי).</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rtl/>
        </w:rPr>
      </w:pPr>
      <w:r>
        <w:rPr>
          <w:rFonts w:ascii="Arial" w:hAnsi="Arial"/>
          <w:b/>
          <w:bCs/>
          <w:i/>
          <w:iCs/>
          <w:rtl/>
        </w:rPr>
        <w:t>8.</w:t>
      </w:r>
      <w:r>
        <w:rPr>
          <w:rFonts w:ascii="Arial" w:hAnsi="Arial"/>
          <w:b/>
          <w:bCs/>
          <w:i/>
          <w:iCs/>
          <w:rtl/>
        </w:rPr>
        <w:tab/>
        <w:t xml:space="preserve">כשם שתביעות הנזיקין שמוגשות ע"י מסורבות ומסורבי גט, סייעו ומסייעות לביעור התופעה של עיגון, הוא הדין במיגור התופעה החמורה של סרבנות קשר. יידע כל הורה מנכר, כי לא ניתן להשתמש בנשק של הסתה וניכור הורי. כשם שהגט לא יכול לשמש כלי ואמצעי להשגת הישגים רכושיים או אחרים במסגרת מאבק הגירושין, כך לא יכול הורה, לרתום את ילדיו ולהשתמש בהם ככלי לניגוח הצד השני או כאמצעי למימוש נקמה ו"ענישה". הורים צריכים לדעת, כי הם ישלמו מחיר כבד אם יתברר שהם בזדון, הסיתו את הקטין כנגד ההורה השני.  </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jc w:val="both"/>
        <w:rPr>
          <w:rFonts w:ascii="Arial" w:hAnsi="Arial"/>
          <w:b/>
          <w:bCs/>
          <w:i/>
          <w:iCs/>
          <w:rtl/>
        </w:rPr>
      </w:pPr>
      <w:r>
        <w:rPr>
          <w:rFonts w:ascii="Arial" w:hAnsi="Arial"/>
          <w:b/>
          <w:bCs/>
          <w:i/>
          <w:iCs/>
          <w:rtl/>
        </w:rPr>
        <w:t xml:space="preserve">לעניין השפעת תביעות הנזיקין על מיגור תופעת סרבנות הגט ראו: פרופ' עמיחי רדזינר, "לא המדרש עיקר אלא המעשה: על סידור גיטין לאחר תביעות נזיקין ועל מדיניות הפרסום של הפסיקה הרבנית, </w:t>
      </w:r>
      <w:r>
        <w:rPr>
          <w:rFonts w:ascii="Arial" w:hAnsi="Arial"/>
          <w:b/>
          <w:bCs/>
          <w:i/>
          <w:iCs/>
          <w:u w:val="single"/>
          <w:rtl/>
        </w:rPr>
        <w:t>משפטים</w:t>
      </w:r>
      <w:r>
        <w:rPr>
          <w:rFonts w:ascii="Arial" w:hAnsi="Arial"/>
          <w:b/>
          <w:bCs/>
          <w:i/>
          <w:iCs/>
          <w:rtl/>
        </w:rPr>
        <w:t xml:space="preserve"> מה' (תשע"ה), עמ' 5.    </w:t>
      </w:r>
    </w:p>
    <w:p w:rsidR="0013254E" w:rsidRDefault="0013254E" w:rsidP="0013254E">
      <w:pPr>
        <w:spacing w:line="360" w:lineRule="auto"/>
        <w:ind w:left="1842" w:hanging="425"/>
        <w:jc w:val="both"/>
        <w:rPr>
          <w:rFonts w:ascii="Arial" w:hAnsi="Arial"/>
          <w:b/>
          <w:bCs/>
          <w:i/>
          <w:iCs/>
          <w:rtl/>
        </w:rPr>
      </w:pPr>
    </w:p>
    <w:p w:rsidR="0013254E" w:rsidRDefault="0013254E" w:rsidP="0013254E">
      <w:pPr>
        <w:spacing w:line="360" w:lineRule="auto"/>
        <w:ind w:left="1842" w:hanging="425"/>
        <w:jc w:val="both"/>
        <w:rPr>
          <w:rFonts w:ascii="Arial" w:hAnsi="Arial"/>
          <w:b/>
          <w:bCs/>
          <w:i/>
          <w:iCs/>
          <w:noProof w:val="0"/>
          <w:rtl/>
        </w:rPr>
      </w:pPr>
      <w:r>
        <w:rPr>
          <w:rFonts w:ascii="Arial" w:hAnsi="Arial"/>
          <w:b/>
          <w:bCs/>
          <w:i/>
          <w:iCs/>
          <w:rtl/>
        </w:rPr>
        <w:t>9.</w:t>
      </w:r>
      <w:r>
        <w:rPr>
          <w:rFonts w:ascii="Arial" w:hAnsi="Arial"/>
          <w:b/>
          <w:bCs/>
          <w:i/>
          <w:iCs/>
          <w:rtl/>
        </w:rPr>
        <w:tab/>
        <w:t>כפי שפורט לעיל, יש לעקור מן השורש את תופעת הניכור ההורי. הנזק שהיא גורמת לקטינים ולהורה המנוכר הוא נזק שאין לו שיעור.</w:t>
      </w:r>
    </w:p>
    <w:p w:rsidR="0013254E" w:rsidRDefault="0013254E" w:rsidP="0013254E">
      <w:pPr>
        <w:spacing w:line="360" w:lineRule="auto"/>
        <w:ind w:left="1842" w:hanging="425"/>
        <w:jc w:val="both"/>
        <w:rPr>
          <w:rFonts w:ascii="Arial" w:hAnsi="Arial"/>
          <w:noProof w:val="0"/>
          <w:rtl/>
        </w:rPr>
      </w:pPr>
    </w:p>
    <w:p w:rsidR="0013254E" w:rsidRDefault="0013254E" w:rsidP="0013254E">
      <w:pPr>
        <w:spacing w:line="360" w:lineRule="auto"/>
        <w:ind w:left="1842" w:hanging="425"/>
        <w:jc w:val="both"/>
        <w:rPr>
          <w:rFonts w:ascii="Arial" w:hAnsi="Arial"/>
          <w:noProof w:val="0"/>
          <w:rtl/>
        </w:rPr>
      </w:pPr>
    </w:p>
    <w:p w:rsidR="0013254E" w:rsidRDefault="0013254E" w:rsidP="0013254E">
      <w:pPr>
        <w:spacing w:line="360" w:lineRule="auto"/>
        <w:ind w:left="1842" w:hanging="425"/>
        <w:jc w:val="both"/>
        <w:rPr>
          <w:rFonts w:ascii="Arial" w:hAnsi="Arial"/>
          <w:noProof w:val="0"/>
          <w:rtl/>
        </w:rPr>
      </w:pPr>
    </w:p>
    <w:p w:rsidR="0013254E" w:rsidRDefault="0013254E" w:rsidP="0013254E">
      <w:pPr>
        <w:spacing w:line="360" w:lineRule="auto"/>
        <w:ind w:left="1842" w:hanging="425"/>
        <w:jc w:val="both"/>
        <w:rPr>
          <w:rFonts w:ascii="Arial" w:hAnsi="Arial"/>
          <w:noProof w:val="0"/>
          <w:rtl/>
        </w:rPr>
      </w:pPr>
    </w:p>
    <w:p w:rsidR="0013254E" w:rsidRDefault="0013254E" w:rsidP="0013254E">
      <w:pPr>
        <w:spacing w:line="360" w:lineRule="auto"/>
        <w:ind w:left="1842" w:hanging="425"/>
        <w:jc w:val="both"/>
        <w:rPr>
          <w:rFonts w:ascii="Arial" w:hAnsi="Arial"/>
          <w:noProof w:val="0"/>
          <w:rtl/>
        </w:rPr>
      </w:pPr>
    </w:p>
    <w:p w:rsidR="0013254E" w:rsidRDefault="0013254E" w:rsidP="0013254E">
      <w:pPr>
        <w:pStyle w:val="af1"/>
        <w:numPr>
          <w:ilvl w:val="0"/>
          <w:numId w:val="1"/>
        </w:numPr>
        <w:spacing w:line="360" w:lineRule="auto"/>
        <w:jc w:val="both"/>
        <w:rPr>
          <w:rFonts w:ascii="Arial" w:hAnsi="Arial"/>
          <w:noProof w:val="0"/>
        </w:rPr>
      </w:pPr>
      <w:r>
        <w:rPr>
          <w:rFonts w:ascii="Arial" w:hAnsi="Arial"/>
          <w:noProof w:val="0"/>
          <w:rtl/>
        </w:rPr>
        <w:t xml:space="preserve">לעניין נזקי הניכור ההורי </w:t>
      </w:r>
      <w:r>
        <w:rPr>
          <w:rFonts w:ascii="Arial" w:hAnsi="Arial" w:hint="cs"/>
          <w:noProof w:val="0"/>
          <w:rtl/>
        </w:rPr>
        <w:t xml:space="preserve">עוד כתבה </w:t>
      </w:r>
      <w:r>
        <w:rPr>
          <w:rFonts w:ascii="Arial" w:hAnsi="Arial"/>
          <w:noProof w:val="0"/>
          <w:rtl/>
        </w:rPr>
        <w:t xml:space="preserve">כבוד השופטת א. בן דור-ליבל וכך כתבה היא, בין השאר, אגב תמ"ש (י-ם) 9120-02-13 </w:t>
      </w:r>
      <w:r>
        <w:rPr>
          <w:rFonts w:ascii="Arial" w:hAnsi="Arial"/>
          <w:b/>
          <w:bCs/>
          <w:noProof w:val="0"/>
          <w:rtl/>
        </w:rPr>
        <w:t>ר. נ' ו.</w:t>
      </w:r>
      <w:r>
        <w:rPr>
          <w:rFonts w:ascii="Arial" w:hAnsi="Arial"/>
          <w:noProof w:val="0"/>
          <w:rtl/>
        </w:rPr>
        <w:t xml:space="preserve"> </w:t>
      </w:r>
      <w:r>
        <w:rPr>
          <w:rFonts w:ascii="Arial" w:hAnsi="Arial" w:hint="cs"/>
          <w:noProof w:val="0"/>
          <w:rtl/>
        </w:rPr>
        <w:t>(</w:t>
      </w:r>
      <w:r>
        <w:rPr>
          <w:rFonts w:ascii="Arial" w:hAnsi="Arial"/>
          <w:noProof w:val="0"/>
          <w:rtl/>
        </w:rPr>
        <w:t>פמ"מ – 02.04.2015):</w:t>
      </w:r>
    </w:p>
    <w:p w:rsidR="0013254E" w:rsidRPr="00CF75E8" w:rsidRDefault="0013254E" w:rsidP="0013254E">
      <w:pPr>
        <w:spacing w:line="360" w:lineRule="auto"/>
        <w:ind w:left="1842" w:hanging="425"/>
        <w:jc w:val="both"/>
        <w:rPr>
          <w:rFonts w:ascii="Arial" w:hAnsi="Arial"/>
          <w:noProof w:val="0"/>
          <w:sz w:val="16"/>
          <w:szCs w:val="16"/>
        </w:rPr>
      </w:pPr>
    </w:p>
    <w:p w:rsidR="0013254E" w:rsidRDefault="0013254E" w:rsidP="0013254E">
      <w:pPr>
        <w:spacing w:line="360" w:lineRule="auto"/>
        <w:ind w:left="1842" w:hanging="425"/>
        <w:jc w:val="both"/>
        <w:rPr>
          <w:rFonts w:ascii="Arial" w:hAnsi="Arial"/>
          <w:b/>
          <w:bCs/>
          <w:noProof w:val="0"/>
          <w:rtl/>
        </w:rPr>
      </w:pPr>
      <w:r>
        <w:rPr>
          <w:rFonts w:ascii="Arial" w:hAnsi="Arial"/>
          <w:b/>
          <w:bCs/>
          <w:noProof w:val="0"/>
          <w:rtl/>
        </w:rPr>
        <w:t>"</w:t>
      </w:r>
    </w:p>
    <w:p w:rsidR="0013254E" w:rsidRPr="003910EA" w:rsidRDefault="0013254E" w:rsidP="0013254E">
      <w:pPr>
        <w:overflowPunct w:val="0"/>
        <w:autoSpaceDE w:val="0"/>
        <w:autoSpaceDN w:val="0"/>
        <w:adjustRightInd w:val="0"/>
        <w:spacing w:line="360" w:lineRule="auto"/>
        <w:ind w:left="1842" w:hanging="425"/>
        <w:jc w:val="both"/>
        <w:rPr>
          <w:b/>
          <w:bCs/>
          <w:i/>
          <w:iCs/>
          <w:lang w:eastAsia="he-IL"/>
        </w:rPr>
      </w:pPr>
      <w:r w:rsidRPr="003910EA">
        <w:rPr>
          <w:b/>
          <w:bCs/>
          <w:i/>
          <w:iCs/>
          <w:rtl/>
          <w:lang w:eastAsia="he-IL"/>
        </w:rPr>
        <w:t>31.</w:t>
      </w:r>
      <w:r w:rsidRPr="003910EA">
        <w:rPr>
          <w:b/>
          <w:bCs/>
          <w:i/>
          <w:iCs/>
          <w:rtl/>
          <w:lang w:eastAsia="he-IL"/>
        </w:rPr>
        <w:tab/>
      </w:r>
      <w:hyperlink r:id="rId13" w:history="1">
        <w:r w:rsidRPr="003910EA">
          <w:rPr>
            <w:rStyle w:val="Hyperlink"/>
            <w:b/>
            <w:bCs/>
            <w:i/>
            <w:iCs/>
            <w:color w:val="auto"/>
            <w:u w:val="none"/>
            <w:rtl/>
            <w:lang w:eastAsia="he-IL"/>
          </w:rPr>
          <w:t>סעיף 15</w:t>
        </w:r>
      </w:hyperlink>
      <w:r w:rsidRPr="003910EA">
        <w:rPr>
          <w:b/>
          <w:bCs/>
          <w:i/>
          <w:iCs/>
          <w:rtl/>
          <w:lang w:eastAsia="he-IL"/>
        </w:rPr>
        <w:t xml:space="preserve"> ל</w:t>
      </w:r>
      <w:hyperlink r:id="rId14" w:history="1">
        <w:r w:rsidRPr="003910EA">
          <w:rPr>
            <w:rStyle w:val="Hyperlink"/>
            <w:b/>
            <w:bCs/>
            <w:i/>
            <w:iCs/>
            <w:color w:val="auto"/>
            <w:u w:val="none"/>
            <w:rtl/>
            <w:lang w:eastAsia="he-IL"/>
          </w:rPr>
          <w:t>חוק הכשרות המשפטית והאפוטרופסות</w:t>
        </w:r>
      </w:hyperlink>
      <w:r w:rsidRPr="003910EA">
        <w:rPr>
          <w:b/>
          <w:bCs/>
          <w:i/>
          <w:iCs/>
          <w:rtl/>
          <w:lang w:eastAsia="he-IL"/>
        </w:rPr>
        <w:t>, התשכ"ב-1962 (ולהלן: "חוק הכשרות"), קובע כי אפוטרופסות ההורים כוללת את החובה והזכות לדאוג לצרכיו של הקטין, וצמודה לה הרשות להחזיק בקטין ולקבוע את מקום מגוריו.</w:t>
      </w:r>
    </w:p>
    <w:p w:rsidR="0013254E" w:rsidRPr="003910EA" w:rsidRDefault="0013254E" w:rsidP="0013254E">
      <w:pPr>
        <w:overflowPunct w:val="0"/>
        <w:autoSpaceDE w:val="0"/>
        <w:autoSpaceDN w:val="0"/>
        <w:adjustRightInd w:val="0"/>
        <w:spacing w:line="360" w:lineRule="auto"/>
        <w:ind w:left="1842" w:hanging="425"/>
        <w:jc w:val="both"/>
        <w:rPr>
          <w:b/>
          <w:bCs/>
          <w:i/>
          <w:iCs/>
          <w:rtl/>
          <w:lang w:eastAsia="he-IL"/>
        </w:rPr>
      </w:pPr>
    </w:p>
    <w:p w:rsidR="0013254E" w:rsidRPr="003910EA" w:rsidRDefault="0013254E" w:rsidP="0013254E">
      <w:pPr>
        <w:spacing w:line="360" w:lineRule="auto"/>
        <w:ind w:left="1842" w:hanging="425"/>
        <w:contextualSpacing/>
        <w:jc w:val="both"/>
        <w:rPr>
          <w:rFonts w:ascii="Arial" w:hAnsi="Arial"/>
          <w:b/>
          <w:bCs/>
          <w:i/>
          <w:iCs/>
        </w:rPr>
      </w:pPr>
      <w:r w:rsidRPr="003910EA">
        <w:rPr>
          <w:rFonts w:ascii="Arial" w:hAnsi="Arial"/>
          <w:b/>
          <w:bCs/>
          <w:i/>
          <w:iCs/>
          <w:rtl/>
        </w:rPr>
        <w:t xml:space="preserve">32. </w:t>
      </w:r>
      <w:r w:rsidRPr="003910EA">
        <w:rPr>
          <w:rFonts w:ascii="Arial" w:hAnsi="Arial"/>
          <w:b/>
          <w:bCs/>
          <w:i/>
          <w:iCs/>
          <w:rtl/>
        </w:rPr>
        <w:tab/>
        <w:t>כבר נכתב רבות על חשיבות הקשר שבין הורה לילד והזכות של הילד לגדול ולהתחנך על ברכי ההורה, כמו זכות ההורה לגדל את הילד ולחנכו ולקיים כלפיו את חובותיו כהורה. הטיבה לתאר זאת כבוד השופטת פרוקצ'יה ב</w:t>
      </w:r>
      <w:hyperlink r:id="rId15" w:history="1">
        <w:r w:rsidRPr="003910EA">
          <w:rPr>
            <w:rStyle w:val="Hyperlink"/>
            <w:b/>
            <w:bCs/>
            <w:i/>
            <w:iCs/>
            <w:color w:val="auto"/>
            <w:u w:val="none"/>
            <w:rtl/>
          </w:rPr>
          <w:t>רע"א 3009/02 פלונית נ' פלוני, פ"ד נו</w:t>
        </w:r>
      </w:hyperlink>
      <w:r w:rsidRPr="003910EA">
        <w:rPr>
          <w:rFonts w:ascii="Arial" w:hAnsi="Arial"/>
          <w:b/>
          <w:bCs/>
          <w:i/>
          <w:iCs/>
          <w:rtl/>
        </w:rPr>
        <w:t>(4) 872, 893 (ולהלן: "פרשת פלונית"):</w:t>
      </w:r>
    </w:p>
    <w:p w:rsidR="0013254E" w:rsidRDefault="0013254E" w:rsidP="0013254E">
      <w:pPr>
        <w:spacing w:line="360" w:lineRule="auto"/>
        <w:ind w:left="2478"/>
        <w:contextualSpacing/>
        <w:jc w:val="both"/>
        <w:rPr>
          <w:rFonts w:ascii="Arial" w:hAnsi="Arial"/>
          <w:b/>
          <w:bCs/>
          <w:i/>
          <w:iCs/>
          <w:rtl/>
        </w:rPr>
      </w:pPr>
      <w:r>
        <w:rPr>
          <w:rFonts w:cs="Miriam"/>
          <w:b/>
          <w:bCs/>
          <w:i/>
          <w:iCs/>
          <w:rtl/>
        </w:rPr>
        <w:t>"המשפט רואה בקשר שבין הורה לילדו זכות טבעית בעלת ממד חוקתי, שלה שני פנים: האחד – זכותו של כל ילד להיות נתון למשמורת הוריו ולגדול ולהתחנך על</w:t>
      </w:r>
      <w:r>
        <w:rPr>
          <w:rFonts w:cs="Miriam"/>
          <w:b/>
          <w:bCs/>
          <w:i/>
          <w:iCs/>
          <w:position w:val="4"/>
          <w:sz w:val="18"/>
          <w:rtl/>
        </w:rPr>
        <w:t>-</w:t>
      </w:r>
      <w:r>
        <w:rPr>
          <w:rFonts w:cs="Miriam"/>
          <w:b/>
          <w:bCs/>
          <w:i/>
          <w:iCs/>
          <w:rtl/>
        </w:rPr>
        <w:t xml:space="preserve">ידיהם; השני – זכותו של הורה, מכוח קשר דם, לגדל ולחנך את ילדו במשמורתו ולקיים כלפיו את חובותיו כהורה. בצד החובה לדאוג לבריאותו ולרווחתו של ילדו קנויה להורה זכות כי </w:t>
      </w:r>
      <w:r>
        <w:rPr>
          <w:b/>
          <w:bCs/>
          <w:i/>
          <w:iCs/>
          <w:rtl/>
        </w:rPr>
        <w:t>הוא</w:t>
      </w:r>
      <w:r>
        <w:rPr>
          <w:rFonts w:cs="Miriam"/>
          <w:b/>
          <w:bCs/>
          <w:i/>
          <w:iCs/>
          <w:sz w:val="20"/>
          <w:szCs w:val="20"/>
          <w:rtl/>
        </w:rPr>
        <w:t xml:space="preserve"> </w:t>
      </w:r>
      <w:r>
        <w:rPr>
          <w:rFonts w:cs="Miriam"/>
          <w:b/>
          <w:bCs/>
          <w:i/>
          <w:iCs/>
          <w:rtl/>
        </w:rPr>
        <w:t xml:space="preserve">ולא </w:t>
      </w:r>
      <w:r>
        <w:rPr>
          <w:b/>
          <w:bCs/>
          <w:i/>
          <w:iCs/>
          <w:rtl/>
        </w:rPr>
        <w:t>אחר</w:t>
      </w:r>
      <w:r>
        <w:rPr>
          <w:rFonts w:cs="Miriam"/>
          <w:b/>
          <w:bCs/>
          <w:i/>
          <w:iCs/>
          <w:rtl/>
        </w:rPr>
        <w:t xml:space="preserve"> יקיים את החובות הללו"</w:t>
      </w:r>
      <w:r>
        <w:rPr>
          <w:b/>
          <w:bCs/>
          <w:i/>
          <w:iCs/>
          <w:rtl/>
        </w:rPr>
        <w:t xml:space="preserve"> (ההדגשות במקור – א.ב.ד).</w:t>
      </w:r>
    </w:p>
    <w:p w:rsidR="0013254E" w:rsidRDefault="0013254E" w:rsidP="0013254E">
      <w:pPr>
        <w:spacing w:line="360" w:lineRule="auto"/>
        <w:ind w:left="1842" w:hanging="425"/>
        <w:contextualSpacing/>
        <w:jc w:val="both"/>
        <w:rPr>
          <w:rFonts w:ascii="Arial" w:hAnsi="Arial"/>
          <w:b/>
          <w:bCs/>
          <w:i/>
          <w:iCs/>
          <w:rtl/>
        </w:rPr>
      </w:pPr>
    </w:p>
    <w:p w:rsidR="0013254E" w:rsidRPr="003910EA" w:rsidRDefault="0013254E" w:rsidP="0013254E">
      <w:pPr>
        <w:spacing w:line="360" w:lineRule="auto"/>
        <w:ind w:left="1842"/>
        <w:contextualSpacing/>
        <w:jc w:val="both"/>
        <w:rPr>
          <w:rFonts w:cs="Miriam"/>
          <w:b/>
          <w:bCs/>
          <w:i/>
          <w:iCs/>
        </w:rPr>
      </w:pPr>
      <w:r>
        <w:rPr>
          <w:rFonts w:ascii="Arial" w:hAnsi="Arial"/>
          <w:b/>
          <w:bCs/>
          <w:i/>
          <w:iCs/>
          <w:rtl/>
        </w:rPr>
        <w:t xml:space="preserve">את ההיבט של זכות ההורה לקיים את חובותיו כלפיו ילדו כזכות חוקתית </w:t>
      </w:r>
      <w:r w:rsidRPr="003910EA">
        <w:rPr>
          <w:rFonts w:ascii="Arial" w:hAnsi="Arial"/>
          <w:b/>
          <w:bCs/>
          <w:i/>
          <w:iCs/>
          <w:rtl/>
        </w:rPr>
        <w:t>כביטוי ל"קול הדם" ביטא כבוד השופט ברק</w:t>
      </w:r>
      <w:r w:rsidRPr="003910EA">
        <w:rPr>
          <w:b/>
          <w:bCs/>
          <w:i/>
          <w:iCs/>
          <w:rtl/>
        </w:rPr>
        <w:t xml:space="preserve"> ב</w:t>
      </w:r>
      <w:hyperlink r:id="rId16" w:history="1">
        <w:r w:rsidRPr="003910EA">
          <w:rPr>
            <w:rStyle w:val="Hyperlink"/>
            <w:b/>
            <w:bCs/>
            <w:i/>
            <w:iCs/>
            <w:color w:val="auto"/>
            <w:u w:val="none"/>
            <w:rtl/>
          </w:rPr>
          <w:t>ע"א 577/83 היועץ המשפטי לממשלה נ' פלונית, פ"ד לח</w:t>
        </w:r>
      </w:hyperlink>
      <w:r w:rsidRPr="003910EA">
        <w:rPr>
          <w:b/>
          <w:bCs/>
          <w:i/>
          <w:iCs/>
          <w:rtl/>
        </w:rPr>
        <w:t>(1) 461, 467):</w:t>
      </w:r>
    </w:p>
    <w:p w:rsidR="0013254E" w:rsidRDefault="0013254E" w:rsidP="0013254E">
      <w:pPr>
        <w:spacing w:line="360" w:lineRule="auto"/>
        <w:ind w:left="2478"/>
        <w:contextualSpacing/>
        <w:jc w:val="both"/>
        <w:rPr>
          <w:rFonts w:cs="Miriam"/>
          <w:b/>
          <w:bCs/>
          <w:i/>
          <w:iCs/>
          <w:rtl/>
        </w:rPr>
      </w:pPr>
      <w:r>
        <w:rPr>
          <w:rFonts w:cs="Miriam"/>
          <w:b/>
          <w:bCs/>
          <w:i/>
          <w:iCs/>
          <w:rtl/>
        </w:rPr>
        <w:t>"זכותו המשפטית של ההורה היא כי הוא, ולא אחר, יקיים את החובות כלפי ילדו... זכות זו של ההורים היא זכות קונסטיטוציונית חשובה, שכן היא מהווה ביטוי לקשר הטבעי – 'קול</w:t>
      </w:r>
      <w:r>
        <w:rPr>
          <w:rFonts w:cs="Miriam"/>
          <w:b/>
          <w:bCs/>
          <w:i/>
          <w:iCs/>
          <w:position w:val="4"/>
          <w:sz w:val="18"/>
          <w:rtl/>
        </w:rPr>
        <w:t>-</w:t>
      </w:r>
      <w:r>
        <w:rPr>
          <w:rFonts w:cs="Miriam"/>
          <w:b/>
          <w:bCs/>
          <w:i/>
          <w:iCs/>
          <w:rtl/>
        </w:rPr>
        <w:t>הדם'... – שבין הורים לילדיהם...".</w:t>
      </w:r>
    </w:p>
    <w:p w:rsidR="0013254E" w:rsidRDefault="0013254E" w:rsidP="0013254E">
      <w:pPr>
        <w:spacing w:line="360" w:lineRule="auto"/>
        <w:ind w:left="1842" w:hanging="425"/>
        <w:contextualSpacing/>
        <w:jc w:val="both"/>
        <w:rPr>
          <w:rFonts w:ascii="Arial" w:hAnsi="Arial"/>
          <w:b/>
          <w:bCs/>
          <w:i/>
          <w:iCs/>
          <w:rtl/>
        </w:rPr>
      </w:pPr>
    </w:p>
    <w:p w:rsidR="0013254E" w:rsidRPr="003910EA" w:rsidRDefault="0013254E" w:rsidP="0013254E">
      <w:pPr>
        <w:spacing w:line="360" w:lineRule="auto"/>
        <w:ind w:left="1842"/>
        <w:contextualSpacing/>
        <w:jc w:val="both"/>
        <w:rPr>
          <w:rFonts w:cs="Miriam"/>
          <w:b/>
          <w:bCs/>
          <w:i/>
          <w:iCs/>
          <w:rtl/>
        </w:rPr>
      </w:pPr>
      <w:r>
        <w:rPr>
          <w:rFonts w:ascii="Arial" w:hAnsi="Arial"/>
          <w:b/>
          <w:bCs/>
          <w:i/>
          <w:iCs/>
          <w:rtl/>
        </w:rPr>
        <w:lastRenderedPageBreak/>
        <w:t xml:space="preserve">אמנם דברים אלה נאמרו בהקשר של הוצאת קטין ממשמורת הוריו במסגרת צו נזקקות, ואולם אין בכך להפחית מעוצמתם בהקשרם הראשוני בזכות </w:t>
      </w:r>
      <w:r w:rsidRPr="003910EA">
        <w:rPr>
          <w:rFonts w:ascii="Arial" w:hAnsi="Arial"/>
          <w:b/>
          <w:bCs/>
          <w:i/>
          <w:iCs/>
          <w:rtl/>
        </w:rPr>
        <w:t>ובחובה הבסיסית והיסודית של הורה ליטול חלק במהלך חייו ילדו. בהקשר זה יפים דבריה של השופטת פרוקציה בהמשך פסה"ד בפרשת פלונית (</w:t>
      </w:r>
      <w:hyperlink r:id="rId17" w:history="1">
        <w:r w:rsidRPr="003910EA">
          <w:rPr>
            <w:rStyle w:val="Hyperlink"/>
            <w:b/>
            <w:bCs/>
            <w:i/>
            <w:iCs/>
            <w:color w:val="auto"/>
            <w:u w:val="none"/>
            <w:rtl/>
          </w:rPr>
          <w:t>רע"א 3009/02</w:t>
        </w:r>
      </w:hyperlink>
      <w:r w:rsidRPr="003910EA">
        <w:rPr>
          <w:rFonts w:ascii="Arial" w:hAnsi="Arial"/>
          <w:b/>
          <w:bCs/>
          <w:i/>
          <w:iCs/>
          <w:rtl/>
        </w:rPr>
        <w:t>, שם, בעמ' 895):</w:t>
      </w:r>
    </w:p>
    <w:p w:rsidR="0013254E" w:rsidRDefault="0013254E" w:rsidP="0013254E">
      <w:pPr>
        <w:spacing w:line="360" w:lineRule="auto"/>
        <w:ind w:left="2562"/>
        <w:contextualSpacing/>
        <w:jc w:val="both"/>
        <w:rPr>
          <w:rFonts w:ascii="Arial" w:hAnsi="Arial" w:cs="Miriam"/>
          <w:b/>
          <w:bCs/>
          <w:i/>
          <w:iCs/>
          <w:rtl/>
        </w:rPr>
      </w:pPr>
      <w:r>
        <w:rPr>
          <w:rFonts w:cs="Miriam"/>
          <w:b/>
          <w:bCs/>
          <w:i/>
          <w:iCs/>
          <w:rtl/>
        </w:rPr>
        <w:t>"זכותם של הורים וילדים למימוש קשר הדם הטבעי ביניהם קיימת גם במסגרות משפחתיות שעברו שבר וקרע עקב פירוד ההורים, ומקום שמכורח נסיבות שאירעו נבצר משני ההורים לגדל את ילדם במשותף. גם כך, וגם מקום שהמערכת המשפחתית נדרשת להתמודדות קשה עם אילוצים שונים הנובעים ממצוקת הפירוד..".</w:t>
      </w:r>
    </w:p>
    <w:p w:rsidR="0013254E" w:rsidRDefault="0013254E" w:rsidP="0013254E">
      <w:pPr>
        <w:spacing w:line="360" w:lineRule="auto"/>
        <w:ind w:left="1842" w:hanging="425"/>
        <w:contextualSpacing/>
        <w:jc w:val="both"/>
        <w:rPr>
          <w:rFonts w:ascii="Arial" w:hAnsi="Arial" w:cs="Miriam"/>
          <w:b/>
          <w:bCs/>
          <w:i/>
          <w:iCs/>
          <w:rtl/>
        </w:rPr>
      </w:pPr>
    </w:p>
    <w:p w:rsidR="0013254E" w:rsidRDefault="0013254E" w:rsidP="0013254E">
      <w:pPr>
        <w:spacing w:line="360" w:lineRule="auto"/>
        <w:ind w:left="1842" w:hanging="425"/>
        <w:contextualSpacing/>
        <w:jc w:val="both"/>
        <w:rPr>
          <w:rFonts w:cs="Miriam"/>
          <w:b/>
          <w:bCs/>
          <w:i/>
          <w:iCs/>
          <w:rtl/>
        </w:rPr>
      </w:pPr>
      <w:r>
        <w:rPr>
          <w:b/>
          <w:bCs/>
          <w:i/>
          <w:iCs/>
          <w:rtl/>
        </w:rPr>
        <w:t>33.</w:t>
      </w:r>
      <w:r>
        <w:rPr>
          <w:b/>
          <w:bCs/>
          <w:i/>
          <w:iCs/>
          <w:rtl/>
        </w:rPr>
        <w:tab/>
        <w:t>החובה לדאוג לשלום הילדים, כמו גם האחריות לקיום הקשר של הילדים עם כל אחד מההורים, על כל המשתמע מכך, חלות על ההורים, שניהם ביחד וכל אחד לחוד. הפסיקה שבה והדגישה כי טובת הילד כוללת גם את הזכות הבסיסית שלו לקשר עם שני הוריו, ועל ההורים מוטלת האחריות להבטחת הקשר עם ההורה האחר. יפים לעניין זה דבריה של כבוד השופטת סביונה רוט לוי בע"מ 1034/01, 26:</w:t>
      </w:r>
    </w:p>
    <w:p w:rsidR="0013254E" w:rsidRPr="003910EA" w:rsidRDefault="0013254E" w:rsidP="0013254E">
      <w:pPr>
        <w:spacing w:line="360" w:lineRule="auto"/>
        <w:ind w:left="2478"/>
        <w:contextualSpacing/>
        <w:jc w:val="both"/>
        <w:rPr>
          <w:b/>
          <w:bCs/>
          <w:i/>
          <w:iCs/>
          <w:noProof w:val="0"/>
          <w:rtl/>
        </w:rPr>
      </w:pPr>
      <w:r>
        <w:rPr>
          <w:rFonts w:cs="Miriam"/>
          <w:b/>
          <w:bCs/>
          <w:i/>
          <w:iCs/>
          <w:rtl/>
        </w:rPr>
        <w:t xml:space="preserve">"כבר הודגש ע"י הרכב ביהמ"ש המחוזי בת"א, שבו נטלתי חלק, לא אחת, כי הזכות של ילדים לקשר עם שני ההורים הינה זכות בסיסית של קטינים המודגשת גם באמנה בדבר זכויות הילד 1989 (כתבי אמנה 1038 כרך 31 עמ' 221  בסעיפים 7, 9(2), 10(2) ו - 18). ואוסיף על כך כי במקביל לזכות זו של ילדים, מוטלת אחריות על ההורים לקיומו של קשר זה עם ההורה האחר, שכן אי קיום הקשר לא רק שפוגעת היא בעקרון טובת הילד, שהוא העקרון השולט בכל החלטה הקשורה בקטינים.  היטיב לבטא זאת מ"מ הנשיא הש' ש. ז. חשין, כאשר עוד לפני קרוב ל - 50 שנה, אמר את הדברים הקולעים הבאים:" טובת הילד כוללת גם חינוך טוב, הכשרת הלב לנימוסים נאים, לדרך ארץ בפני אנשים קרובים ורחוקים, וביחוד לכיבוד אם ואב. ההורים חייבים להיות אנשי המעלה בעיני הילד ויהיו אשר יהיו היחסים ההדדיים בינם לבין עצמם. כן ההכרח לנטוע בלב הילד רגשי אהבה והערצה לאב ולאם לא רק משום שמגיע להם הדבר בזכות היותם הורים, כי אם גם, ואולי בייחוד, משום שטיפוח רגשות אלה מרגיל את הילד לאחר זמן לקשור קשרי ידידות עם זרים ועם </w:t>
      </w:r>
      <w:r>
        <w:rPr>
          <w:rFonts w:cs="Miriam"/>
          <w:b/>
          <w:bCs/>
          <w:i/>
          <w:iCs/>
          <w:rtl/>
        </w:rPr>
        <w:lastRenderedPageBreak/>
        <w:t>החברה כולה. הקשר הראשוני נוצר עם האנשים הקרובים ביותר לילד ומתפשט על האחרים. נטיעת רגשי שנאה בלב הילד לאב או לאם פירושה השרשת איבה לאדם מן החברה. פעל כזה מזיק לילד ולכל תהליכי התפתחותו הרוחנית, ועשוי להתנקם ברבות הימים בסביבתו הקרובה והרחוקה כאחד</w:t>
      </w:r>
      <w:r>
        <w:rPr>
          <w:b/>
          <w:bCs/>
          <w:i/>
          <w:iCs/>
          <w:rtl/>
        </w:rPr>
        <w:t xml:space="preserve"> "(</w:t>
      </w:r>
      <w:hyperlink r:id="rId18" w:history="1">
        <w:r w:rsidRPr="003910EA">
          <w:rPr>
            <w:rStyle w:val="Hyperlink"/>
            <w:b/>
            <w:bCs/>
            <w:i/>
            <w:iCs/>
            <w:color w:val="auto"/>
            <w:u w:val="none"/>
            <w:rtl/>
          </w:rPr>
          <w:t>ע"א 319/54; המ, 106/56 , ד. ג נ. ה. ג. וערעורים שכנגד, פ"ד יא</w:t>
        </w:r>
      </w:hyperlink>
      <w:r w:rsidRPr="003910EA">
        <w:rPr>
          <w:b/>
          <w:bCs/>
          <w:i/>
          <w:iCs/>
          <w:rtl/>
        </w:rPr>
        <w:t xml:space="preserve"> (1), 261).</w:t>
      </w:r>
    </w:p>
    <w:p w:rsidR="0013254E" w:rsidRDefault="0013254E" w:rsidP="0013254E">
      <w:pPr>
        <w:spacing w:line="360" w:lineRule="auto"/>
        <w:ind w:left="1842" w:hanging="425"/>
        <w:contextualSpacing/>
        <w:jc w:val="both"/>
        <w:rPr>
          <w:b/>
          <w:bCs/>
          <w:i/>
          <w:iCs/>
        </w:rPr>
      </w:pPr>
    </w:p>
    <w:p w:rsidR="0013254E" w:rsidRDefault="0013254E" w:rsidP="0013254E">
      <w:pPr>
        <w:spacing w:line="360" w:lineRule="auto"/>
        <w:ind w:left="1842" w:hanging="425"/>
        <w:jc w:val="both"/>
        <w:rPr>
          <w:b/>
          <w:bCs/>
          <w:i/>
          <w:iCs/>
          <w:sz w:val="22"/>
          <w:rtl/>
          <w:lang w:eastAsia="he-IL"/>
        </w:rPr>
      </w:pPr>
      <w:r>
        <w:rPr>
          <w:b/>
          <w:bCs/>
          <w:i/>
          <w:iCs/>
          <w:rtl/>
          <w:lang w:eastAsia="he-IL"/>
        </w:rPr>
        <w:t>34.</w:t>
      </w:r>
      <w:r>
        <w:rPr>
          <w:b/>
          <w:bCs/>
          <w:i/>
          <w:iCs/>
          <w:rtl/>
          <w:lang w:eastAsia="he-IL"/>
        </w:rPr>
        <w:tab/>
        <w:t xml:space="preserve">בהיבט טובת הקטין, היחסים עם הורים הם בעלי חשיבות רבה בהתפתחות הרגשית, האישית והקוגניטיבית וקיים לכך תיעוד ספרותי רב. הממצאים מראים שילדים שנמנעים מהם יחסים משמעותיים עם אחד מהוריהם נמצאים בסיכון פסיכולוגי רב יותר. ילדים יכולים להשיג את הפוטנציאל הפסיכולוגי כאשר הם מסוגלים לפתח ולשמר יחסים משמעותיים עם שני ההורים, בין אם הם חיים יחד ובין אם לא. </w:t>
      </w:r>
    </w:p>
    <w:p w:rsidR="0013254E" w:rsidRDefault="0013254E" w:rsidP="0013254E">
      <w:pPr>
        <w:spacing w:line="360" w:lineRule="auto"/>
        <w:ind w:left="1842" w:hanging="425"/>
        <w:jc w:val="both"/>
        <w:rPr>
          <w:b/>
          <w:bCs/>
          <w:i/>
          <w:iCs/>
          <w:rtl/>
          <w:lang w:eastAsia="he-IL"/>
        </w:rPr>
      </w:pPr>
    </w:p>
    <w:p w:rsidR="0013254E" w:rsidRDefault="0013254E" w:rsidP="0013254E">
      <w:pPr>
        <w:spacing w:line="360" w:lineRule="auto"/>
        <w:ind w:left="1842" w:hanging="425"/>
        <w:jc w:val="both"/>
        <w:rPr>
          <w:rFonts w:cs="Miriam"/>
          <w:b/>
          <w:bCs/>
          <w:i/>
          <w:iCs/>
          <w:sz w:val="20"/>
          <w:lang w:eastAsia="he-IL"/>
        </w:rPr>
      </w:pPr>
      <w:r>
        <w:rPr>
          <w:b/>
          <w:bCs/>
          <w:i/>
          <w:iCs/>
          <w:sz w:val="20"/>
          <w:rtl/>
          <w:lang w:eastAsia="he-IL"/>
        </w:rPr>
        <w:t>35.</w:t>
      </w:r>
      <w:r>
        <w:rPr>
          <w:b/>
          <w:bCs/>
          <w:i/>
          <w:iCs/>
          <w:sz w:val="20"/>
          <w:rtl/>
          <w:lang w:eastAsia="he-IL"/>
        </w:rPr>
        <w:tab/>
        <w:t>על המונח "ניכור הורי" עמד כבוד השופט גרוניס בפרשת פלונית (מיום 20.6.02):</w:t>
      </w:r>
    </w:p>
    <w:p w:rsidR="0013254E" w:rsidRDefault="0013254E" w:rsidP="0013254E">
      <w:pPr>
        <w:spacing w:line="360" w:lineRule="auto"/>
        <w:ind w:left="2478"/>
        <w:jc w:val="both"/>
        <w:rPr>
          <w:rFonts w:cs="Miriam"/>
          <w:b/>
          <w:bCs/>
          <w:i/>
          <w:iCs/>
          <w:sz w:val="20"/>
          <w:rtl/>
          <w:lang w:eastAsia="he-IL"/>
        </w:rPr>
      </w:pPr>
      <w:r>
        <w:rPr>
          <w:rFonts w:cs="Miriam"/>
          <w:b/>
          <w:bCs/>
          <w:i/>
          <w:iCs/>
          <w:sz w:val="20"/>
          <w:rtl/>
          <w:lang w:eastAsia="he-IL"/>
        </w:rPr>
        <w:t xml:space="preserve">"את המונח ניכור הורי ( </w:t>
      </w:r>
      <w:r>
        <w:rPr>
          <w:rFonts w:cs="Miriam"/>
          <w:b/>
          <w:bCs/>
          <w:i/>
          <w:iCs/>
          <w:sz w:val="20"/>
          <w:lang w:eastAsia="he-IL"/>
        </w:rPr>
        <w:t>Parental Alienation Syndrome</w:t>
      </w:r>
      <w:r>
        <w:rPr>
          <w:rFonts w:cs="Miriam"/>
          <w:b/>
          <w:bCs/>
          <w:i/>
          <w:iCs/>
          <w:sz w:val="20"/>
          <w:rtl/>
          <w:lang w:eastAsia="he-IL"/>
        </w:rPr>
        <w:t>) טבע לראשונה הפסיכיאטר האמריקאי, פרופ' ריצ'רד גרדנר, לפני כחמש עשרה שנים. הוא היה הראשון שהתייחס בצורה שיטתית לתופעות שונות שנתגלו אצל ילדים בהקשר לסכסוכים בין הורים, במיוחד לגבי המשמורת. פרופ' גרדנר הגדיר את הסינדרום כהפרעה, אשר הביטוי העיקרי שלה נמצא בגינוי או התנכרות מצידו של ילד כלפי אחד מהוריו, כאשר אין כל צידוק לכך...</w:t>
      </w:r>
    </w:p>
    <w:p w:rsidR="0013254E" w:rsidRDefault="0013254E" w:rsidP="0013254E">
      <w:pPr>
        <w:spacing w:line="360" w:lineRule="auto"/>
        <w:ind w:left="2478"/>
        <w:jc w:val="both"/>
        <w:rPr>
          <w:rFonts w:cs="Miriam"/>
          <w:b/>
          <w:bCs/>
          <w:i/>
          <w:iCs/>
          <w:sz w:val="20"/>
          <w:rtl/>
          <w:lang w:eastAsia="he-IL"/>
        </w:rPr>
      </w:pPr>
      <w:r>
        <w:rPr>
          <w:rFonts w:cs="Miriam"/>
          <w:b/>
          <w:bCs/>
          <w:i/>
          <w:iCs/>
          <w:sz w:val="20"/>
          <w:rtl/>
          <w:lang w:eastAsia="he-IL"/>
        </w:rPr>
        <w:t>ביטוי לתסמונת נמצא, בין היתר, בסירוב של הילד לקיים קשר עם אחד ההורים. מכאן השימוש במונח "סרבנות קשר" כדיבור נרדף לניכור הורי, אף שאין הראשון אלא אחד המאפיינים של התסמונת...</w:t>
      </w:r>
    </w:p>
    <w:p w:rsidR="0013254E" w:rsidRDefault="0013254E" w:rsidP="0013254E">
      <w:pPr>
        <w:spacing w:line="360" w:lineRule="auto"/>
        <w:ind w:left="2478"/>
        <w:jc w:val="both"/>
        <w:rPr>
          <w:rFonts w:cs="Miriam"/>
          <w:b/>
          <w:bCs/>
          <w:i/>
          <w:iCs/>
          <w:sz w:val="20"/>
          <w:rtl/>
          <w:lang w:eastAsia="he-IL"/>
        </w:rPr>
      </w:pPr>
      <w:r>
        <w:rPr>
          <w:rFonts w:cs="Miriam"/>
          <w:b/>
          <w:bCs/>
          <w:i/>
          <w:iCs/>
          <w:sz w:val="20"/>
          <w:rtl/>
          <w:lang w:eastAsia="he-IL"/>
        </w:rPr>
        <w:t>עפ"י המלומדים ברגמן וויצטום, על הילד מופעלים אמצעים פסיכולוגיים שונים הגורמים לניתוקו מההורה המסורב וגורמים לו לפתח תלות בהורה המנכר.... הבעיה מסתבכת כאשר מתגלה התסמונת, משום שהרצון של הילד הינו תוצר מעוות של ההשפעות להן הוא נתון מצידו של ההורה המנכר".</w:t>
      </w:r>
    </w:p>
    <w:p w:rsidR="0013254E" w:rsidRDefault="0013254E" w:rsidP="0013254E">
      <w:pPr>
        <w:spacing w:line="360" w:lineRule="auto"/>
        <w:ind w:left="1842" w:hanging="425"/>
        <w:jc w:val="both"/>
        <w:rPr>
          <w:b/>
          <w:bCs/>
          <w:i/>
          <w:iCs/>
          <w:rtl/>
        </w:rPr>
      </w:pPr>
    </w:p>
    <w:p w:rsidR="0013254E" w:rsidRDefault="0013254E" w:rsidP="0013254E">
      <w:pPr>
        <w:spacing w:line="360" w:lineRule="auto"/>
        <w:ind w:left="1842"/>
        <w:jc w:val="both"/>
        <w:rPr>
          <w:b/>
          <w:bCs/>
          <w:i/>
          <w:iCs/>
          <w:rtl/>
        </w:rPr>
      </w:pPr>
      <w:r>
        <w:rPr>
          <w:b/>
          <w:bCs/>
          <w:i/>
          <w:iCs/>
          <w:rtl/>
        </w:rPr>
        <w:lastRenderedPageBreak/>
        <w:t>עמדתו של המלומד גארדנר היא שכאשר מדובר במקרים חמורים של התסמונת, יש להוציא את הילד ממשמורתו של ההורה המסית למשמורתו של ההורה המסורב אחרת עלול להיגרם לילד נזק.</w:t>
      </w:r>
    </w:p>
    <w:p w:rsidR="0013254E" w:rsidRDefault="0013254E" w:rsidP="0013254E">
      <w:pPr>
        <w:spacing w:line="360" w:lineRule="auto"/>
        <w:ind w:left="1842" w:hanging="425"/>
        <w:jc w:val="both"/>
        <w:rPr>
          <w:b/>
          <w:bCs/>
          <w:i/>
          <w:iCs/>
          <w:rtl/>
          <w:lang w:eastAsia="he-IL"/>
        </w:rPr>
      </w:pPr>
    </w:p>
    <w:p w:rsidR="0013254E" w:rsidRDefault="0013254E" w:rsidP="0013254E">
      <w:pPr>
        <w:spacing w:line="360" w:lineRule="auto"/>
        <w:ind w:left="1842" w:hanging="425"/>
        <w:jc w:val="both"/>
        <w:rPr>
          <w:rFonts w:cs="Miriam"/>
          <w:b/>
          <w:bCs/>
          <w:i/>
          <w:iCs/>
          <w:rtl/>
          <w:lang w:eastAsia="he-IL"/>
        </w:rPr>
      </w:pPr>
      <w:r>
        <w:rPr>
          <w:b/>
          <w:bCs/>
          <w:i/>
          <w:iCs/>
          <w:rtl/>
          <w:lang w:eastAsia="he-IL"/>
        </w:rPr>
        <w:t>36.</w:t>
      </w:r>
      <w:r>
        <w:rPr>
          <w:b/>
          <w:bCs/>
          <w:i/>
          <w:iCs/>
          <w:rtl/>
          <w:lang w:eastAsia="he-IL"/>
        </w:rPr>
        <w:tab/>
        <w:t>על השפעתה של התסמונת והנזק שהיא גורמת בהתפתחותם של ילדים, עמד כב' השופט פורת ב</w:t>
      </w:r>
      <w:r>
        <w:rPr>
          <w:rFonts w:cs="Times New Roman" w:hint="cs"/>
          <w:b/>
          <w:bCs/>
          <w:i/>
          <w:iCs/>
          <w:color w:val="000000"/>
          <w:rtl/>
          <w:lang w:eastAsia="he-IL"/>
        </w:rPr>
        <w:t>עמ"מ 90/97</w:t>
      </w:r>
      <w:r>
        <w:rPr>
          <w:b/>
          <w:bCs/>
          <w:i/>
          <w:iCs/>
          <w:rtl/>
          <w:lang w:eastAsia="he-IL"/>
        </w:rPr>
        <w:t xml:space="preserve"> מורן נ' מורן, דינים מחוזי כרך לב(2), 597 בפסקה 6 לפסק הדין:</w:t>
      </w:r>
    </w:p>
    <w:p w:rsidR="0013254E" w:rsidRDefault="0013254E" w:rsidP="0013254E">
      <w:pPr>
        <w:spacing w:line="360" w:lineRule="auto"/>
        <w:ind w:left="2880"/>
        <w:jc w:val="both"/>
        <w:rPr>
          <w:rFonts w:cs="Miriam"/>
          <w:b/>
          <w:bCs/>
          <w:i/>
          <w:iCs/>
          <w:rtl/>
          <w:lang w:eastAsia="he-IL"/>
        </w:rPr>
      </w:pPr>
      <w:r>
        <w:rPr>
          <w:rFonts w:cs="Miriam"/>
          <w:b/>
          <w:bCs/>
          <w:i/>
          <w:iCs/>
          <w:rtl/>
          <w:lang w:eastAsia="he-IL"/>
        </w:rPr>
        <w:t>"התסמונת הנדונה מזיקה מאד להתפתחותו של הילד. היא יוצרת אצלו תפיסה חד מימדית של אנשים ושל מערכת יחסים ומעוותת במיוחד את ההבנה שתהיה לו על מהות של מערכות יחסים בתוך המשפחה. אחד המרכיבים המהותיים המאפשרים קיומם של חיי משפחה תקינים היא היכולת לראות את נקודת מבטו של הזולת. להבין שחלק מהצדק נמצא בצד השני. אדם הרואה את מערכות היחסים דרך פיצול של טוב ורע אינו מסוגל לכך. מתפתחת אצלו הכנה גרועה לחיי המשפחה. ילדים המפתחים תיסמונת של סרבנות קשר לומדים להשתמש במניעת אהבה כמניפולציה וכעונש. הם מפתחים חוסר אמון כללי וחשדנות בבני אדם. הם לומדים כי הם אינם רשאים להיות בקשרים טובים בו זמנית עם אנשים שונים, הם מעוותים את הדמות הפנימית ואת הייצוג הפנימי של ההורה המנוכר. נזקים ומצוקות נוספים המתוארים בספרות מסבירים מדוע מצב כזה הינו מצב בלתי נסבל עבור ילד ומדוע יש לנקוט באמצעים טיפוליים מידיים כדי לחלצו ממצב זה. מדוע חשוב להסביר להורים  שקשר טוב עם שני ההורים בו זמנית הוא חשוב ביותר עבורו בהווה ומהווה תנאי ליצירת קשרים אינטימיים בעתיד. ומדוע חשוב להבהיר להורים את זכותו של הילד לממש קשרים טובים עם שני הוריו".</w:t>
      </w:r>
    </w:p>
    <w:p w:rsidR="0013254E" w:rsidRDefault="0013254E" w:rsidP="0013254E">
      <w:pPr>
        <w:spacing w:line="360" w:lineRule="auto"/>
        <w:ind w:left="1842" w:hanging="425"/>
        <w:jc w:val="both"/>
        <w:rPr>
          <w:rFonts w:cs="Miriam"/>
          <w:b/>
          <w:bCs/>
          <w:i/>
          <w:iCs/>
          <w:lang w:eastAsia="he-IL"/>
        </w:rPr>
      </w:pPr>
    </w:p>
    <w:p w:rsidR="0013254E" w:rsidRDefault="0013254E" w:rsidP="0013254E">
      <w:pPr>
        <w:spacing w:line="360" w:lineRule="auto"/>
        <w:ind w:left="1842" w:hanging="425"/>
        <w:jc w:val="both"/>
        <w:rPr>
          <w:b/>
          <w:bCs/>
          <w:i/>
          <w:iCs/>
          <w:rtl/>
          <w:lang w:eastAsia="he-IL"/>
        </w:rPr>
      </w:pPr>
      <w:r>
        <w:rPr>
          <w:b/>
          <w:bCs/>
          <w:i/>
          <w:iCs/>
          <w:rtl/>
          <w:lang w:eastAsia="he-IL"/>
        </w:rPr>
        <w:t>37.</w:t>
      </w:r>
      <w:r>
        <w:rPr>
          <w:b/>
          <w:bCs/>
          <w:i/>
          <w:iCs/>
          <w:rtl/>
          <w:lang w:eastAsia="he-IL"/>
        </w:rPr>
        <w:tab/>
        <w:t xml:space="preserve">מניעת קשר בין הורה לילדיו כתוצאה מהסתתם נגדו היא תופעה פסולה וחמורה מעין כמוה הפוגעת במישרין בטובת הקטין וההורה המנוכר ובזכויותיהם הבסיסיות והיסודיות. היא כרוכה בפגיעה קשה וכואבת בהורה המנוכר, הנותר במקרים קיצוניים, כמו שטוען התובע כאן, "כהורה שכול עוד בחיי ילדיו". כבודו ורגשותיו נפגעים, וזכותו לחיי משפחה נפגעת אף היא. </w:t>
      </w:r>
      <w:r>
        <w:rPr>
          <w:b/>
          <w:bCs/>
          <w:i/>
          <w:iCs/>
          <w:rtl/>
          <w:lang w:eastAsia="he-IL"/>
        </w:rPr>
        <w:lastRenderedPageBreak/>
        <w:t>משכך מצדיקה היא התערבות משפטית כדי למגרה. כדברי כבוד השופט ויצמן, האינטרס הציבורי במיגור התופעה של ניכור הורי, המשפיעה השפעה רבה על הורים ועל ילדים ועלולה להביא לתפקוד לקוי של הילדים ולנזק הנפשי רב הן שלהם והן של ההורה, ויש בה השפעה על כלל הציבור, קורא לחיסולה של התופעה ומובן שהאינטרס הפרטי והמשפחתי תובע את סילוקה. בצורך למגר את התופעה חוברים האינטרס הפרטי והציבורי ויחד אינם משאירים כל מקום לנסיגה מפני התערבות כלפי אלה המתנהגים באופן זה, גם בהיבט הנזיקי.</w:t>
      </w:r>
    </w:p>
    <w:p w:rsidR="0013254E" w:rsidRDefault="0013254E" w:rsidP="0013254E">
      <w:pPr>
        <w:spacing w:line="360" w:lineRule="auto"/>
        <w:ind w:left="1842" w:hanging="425"/>
        <w:jc w:val="both"/>
        <w:rPr>
          <w:b/>
          <w:bCs/>
          <w:i/>
          <w:iCs/>
          <w:rtl/>
          <w:lang w:eastAsia="he-IL"/>
        </w:rPr>
      </w:pPr>
    </w:p>
    <w:p w:rsidR="0013254E" w:rsidRDefault="0013254E" w:rsidP="0013254E">
      <w:pPr>
        <w:spacing w:line="360" w:lineRule="auto"/>
        <w:ind w:left="1842" w:hanging="425"/>
        <w:jc w:val="both"/>
        <w:rPr>
          <w:b/>
          <w:bCs/>
          <w:i/>
          <w:iCs/>
        </w:rPr>
      </w:pPr>
      <w:r>
        <w:rPr>
          <w:b/>
          <w:bCs/>
          <w:i/>
          <w:iCs/>
          <w:rtl/>
        </w:rPr>
        <w:t>38.</w:t>
      </w:r>
      <w:r>
        <w:rPr>
          <w:b/>
          <w:bCs/>
          <w:i/>
          <w:iCs/>
          <w:rtl/>
        </w:rPr>
        <w:tab/>
        <w:t>בספרם "הגירה וחטיפות ילדים – היבטים משפטיים ופסיכולוגיים", הוצאת נבו, קובעים המחברים, מורן, עמירן ובר, שחטיפות ילדים, יוצרות לא אחת גם עילה לתביעה נזיקית וכי מעבר להוצאות הכספיות הכבדות, קיימים גם נזקים נפשיים חמורים, שקשה לאמוד את שיעורם. אמנם במקרה דנן אין המדובר בחטיפת ילדים, אולם בודאי שהמדובר בניתוק ומשכך קביעתם ש"</w:t>
      </w:r>
      <w:r>
        <w:rPr>
          <w:rFonts w:cs="Miriam"/>
          <w:b/>
          <w:bCs/>
          <w:i/>
          <w:iCs/>
          <w:rtl/>
        </w:rPr>
        <w:t>אין לך קשר חזק יותר מהקשר שבין הורה לילדו וניתוקו של הילד מהורהו עלול לגרום נזק נפשי רב</w:t>
      </w:r>
      <w:r>
        <w:rPr>
          <w:b/>
          <w:bCs/>
          <w:i/>
          <w:iCs/>
          <w:rtl/>
        </w:rPr>
        <w:t>" (עמ' 263), יפה גם כאן. זאת ועוד. היו כאלה שהגדירו את התסמונת של ניכור הורי כמעין חטיפה נפשית של הילד (ראו סעיף 8 לפסה"ד של השופט גרוניס (כתוארו אז) בהלכת פלוני לעיל, והאיזכורים שם).</w:t>
      </w:r>
    </w:p>
    <w:p w:rsidR="0013254E" w:rsidRDefault="0013254E" w:rsidP="0013254E">
      <w:pPr>
        <w:spacing w:line="360" w:lineRule="auto"/>
        <w:ind w:left="1842" w:hanging="425"/>
        <w:jc w:val="both"/>
        <w:rPr>
          <w:b/>
          <w:bCs/>
          <w:i/>
          <w:iCs/>
          <w:noProof w:val="0"/>
        </w:rPr>
      </w:pPr>
    </w:p>
    <w:p w:rsidR="0013254E" w:rsidRPr="003910EA" w:rsidRDefault="0013254E" w:rsidP="0013254E">
      <w:pPr>
        <w:spacing w:line="360" w:lineRule="auto"/>
        <w:ind w:left="1842" w:hanging="425"/>
        <w:jc w:val="both"/>
        <w:rPr>
          <w:rFonts w:ascii="Arial" w:hAnsi="Arial"/>
          <w:b/>
          <w:bCs/>
          <w:i/>
          <w:iCs/>
          <w:sz w:val="20"/>
          <w:lang w:eastAsia="he-IL"/>
        </w:rPr>
      </w:pPr>
      <w:r>
        <w:rPr>
          <w:b/>
          <w:bCs/>
          <w:i/>
          <w:iCs/>
          <w:sz w:val="20"/>
          <w:rtl/>
          <w:lang w:eastAsia="he-IL"/>
        </w:rPr>
        <w:t>39.</w:t>
      </w:r>
      <w:r>
        <w:rPr>
          <w:b/>
          <w:bCs/>
          <w:i/>
          <w:iCs/>
          <w:sz w:val="20"/>
          <w:rtl/>
          <w:lang w:eastAsia="he-IL"/>
        </w:rPr>
        <w:tab/>
        <w:t xml:space="preserve">ואכן, הפסיקה הכירה בתופעת ההסתה המביאה לניכור הורי כמקימה עילת תביעה נזיקית, הבאה תחת עוולת הפרת חובה חקוקה (הפרת חובה חקוקה </w:t>
      </w:r>
      <w:r w:rsidRPr="003910EA">
        <w:rPr>
          <w:b/>
          <w:bCs/>
          <w:i/>
          <w:iCs/>
          <w:sz w:val="20"/>
          <w:rtl/>
          <w:lang w:eastAsia="he-IL"/>
        </w:rPr>
        <w:t xml:space="preserve">כאמור </w:t>
      </w:r>
      <w:hyperlink r:id="rId19" w:history="1">
        <w:r w:rsidRPr="003910EA">
          <w:rPr>
            <w:rStyle w:val="Hyperlink"/>
            <w:b/>
            <w:bCs/>
            <w:i/>
            <w:iCs/>
            <w:color w:val="auto"/>
            <w:sz w:val="20"/>
            <w:u w:val="none"/>
            <w:rtl/>
            <w:lang w:eastAsia="he-IL"/>
          </w:rPr>
          <w:t>בסעיף 287</w:t>
        </w:r>
      </w:hyperlink>
      <w:r w:rsidRPr="003910EA">
        <w:rPr>
          <w:b/>
          <w:bCs/>
          <w:i/>
          <w:iCs/>
          <w:sz w:val="20"/>
          <w:rtl/>
          <w:lang w:eastAsia="he-IL"/>
        </w:rPr>
        <w:t xml:space="preserve"> ל</w:t>
      </w:r>
      <w:hyperlink r:id="rId20" w:history="1">
        <w:r w:rsidRPr="003910EA">
          <w:rPr>
            <w:rStyle w:val="Hyperlink"/>
            <w:b/>
            <w:bCs/>
            <w:i/>
            <w:iCs/>
            <w:color w:val="auto"/>
            <w:sz w:val="20"/>
            <w:u w:val="none"/>
            <w:rtl/>
            <w:lang w:eastAsia="he-IL"/>
          </w:rPr>
          <w:t>חוק העונשין</w:t>
        </w:r>
      </w:hyperlink>
      <w:r w:rsidRPr="003910EA">
        <w:rPr>
          <w:b/>
          <w:bCs/>
          <w:i/>
          <w:iCs/>
          <w:sz w:val="20"/>
          <w:rtl/>
          <w:lang w:eastAsia="he-IL"/>
        </w:rPr>
        <w:t>, התשל"ז – 1977), במקרים בהם הופרו החלטות שיפוטיות להסדרי ראיה או לנקיטת אמצעים טיפוליים לצורך קיום הקשר עם ההורה המנוכר</w:t>
      </w:r>
      <w:r w:rsidRPr="003910EA">
        <w:rPr>
          <w:rFonts w:ascii="Arial" w:hAnsi="Arial"/>
          <w:b/>
          <w:bCs/>
          <w:i/>
          <w:iCs/>
          <w:sz w:val="20"/>
          <w:rtl/>
          <w:lang w:eastAsia="he-IL"/>
        </w:rPr>
        <w:t xml:space="preserve">. גם בהעדר הפרת החלטות כאמור, </w:t>
      </w:r>
      <w:r w:rsidRPr="003910EA">
        <w:rPr>
          <w:rFonts w:ascii="Arial" w:hAnsi="Arial"/>
          <w:b/>
          <w:bCs/>
          <w:i/>
          <w:iCs/>
          <w:rtl/>
          <w:lang w:eastAsia="he-IL"/>
        </w:rPr>
        <w:t xml:space="preserve">אפשר שההסתה תבוא בגדר עוולת הרשלנות </w:t>
      </w:r>
      <w:r w:rsidRPr="003910EA">
        <w:rPr>
          <w:b/>
          <w:bCs/>
          <w:i/>
          <w:iCs/>
          <w:rtl/>
          <w:lang w:eastAsia="he-IL"/>
        </w:rPr>
        <w:t xml:space="preserve">המעוגנת </w:t>
      </w:r>
      <w:hyperlink r:id="rId21" w:history="1">
        <w:r w:rsidRPr="003910EA">
          <w:rPr>
            <w:rStyle w:val="Hyperlink"/>
            <w:b/>
            <w:bCs/>
            <w:i/>
            <w:iCs/>
            <w:color w:val="auto"/>
            <w:u w:val="none"/>
            <w:rtl/>
            <w:lang w:eastAsia="he-IL"/>
          </w:rPr>
          <w:t>בסעיף 35</w:t>
        </w:r>
      </w:hyperlink>
      <w:r w:rsidRPr="003910EA">
        <w:rPr>
          <w:b/>
          <w:bCs/>
          <w:i/>
          <w:iCs/>
          <w:rtl/>
          <w:lang w:eastAsia="he-IL"/>
        </w:rPr>
        <w:t xml:space="preserve"> ל</w:t>
      </w:r>
      <w:hyperlink r:id="rId22" w:history="1">
        <w:r w:rsidRPr="003910EA">
          <w:rPr>
            <w:rStyle w:val="Hyperlink"/>
            <w:b/>
            <w:bCs/>
            <w:i/>
            <w:iCs/>
            <w:color w:val="auto"/>
            <w:u w:val="none"/>
            <w:rtl/>
            <w:lang w:eastAsia="he-IL"/>
          </w:rPr>
          <w:t>פקודת הנזיקין</w:t>
        </w:r>
      </w:hyperlink>
      <w:r w:rsidRPr="003910EA">
        <w:rPr>
          <w:rFonts w:ascii="Arial" w:hAnsi="Arial"/>
          <w:b/>
          <w:bCs/>
          <w:i/>
          <w:iCs/>
          <w:rtl/>
          <w:lang w:eastAsia="he-IL"/>
        </w:rPr>
        <w:t xml:space="preserve"> </w:t>
      </w:r>
      <w:r w:rsidRPr="003910EA">
        <w:rPr>
          <w:b/>
          <w:bCs/>
          <w:i/>
          <w:iCs/>
          <w:sz w:val="20"/>
          <w:rtl/>
          <w:lang w:eastAsia="he-IL"/>
        </w:rPr>
        <w:t xml:space="preserve">(ראו למשל: </w:t>
      </w:r>
      <w:hyperlink r:id="rId23" w:history="1">
        <w:r w:rsidRPr="003910EA">
          <w:rPr>
            <w:rStyle w:val="Hyperlink"/>
            <w:b/>
            <w:bCs/>
            <w:i/>
            <w:iCs/>
            <w:color w:val="auto"/>
            <w:u w:val="none"/>
            <w:rtl/>
            <w:lang w:eastAsia="he-IL"/>
          </w:rPr>
          <w:t>תמ"ש (י-ם) 48750-07-12</w:t>
        </w:r>
      </w:hyperlink>
      <w:r w:rsidRPr="003910EA">
        <w:rPr>
          <w:rFonts w:ascii="Arial" w:hAnsi="Arial"/>
          <w:b/>
          <w:bCs/>
          <w:i/>
          <w:iCs/>
          <w:rtl/>
          <w:lang w:eastAsia="he-IL"/>
        </w:rPr>
        <w:t xml:space="preserve"> ש' נ' כ' [פורסם בנבו]  (19.2.14)</w:t>
      </w:r>
      <w:r w:rsidRPr="003910EA">
        <w:rPr>
          <w:b/>
          <w:bCs/>
          <w:i/>
          <w:iCs/>
          <w:sz w:val="20"/>
          <w:rtl/>
          <w:lang w:eastAsia="he-IL"/>
        </w:rPr>
        <w:t xml:space="preserve">; תמ"ש (י-ם) א.ל. נ' ש.ה. [פורסם בנבו] (20.11.11);  </w:t>
      </w:r>
      <w:r w:rsidRPr="003910EA">
        <w:rPr>
          <w:rFonts w:ascii="Arial" w:hAnsi="Arial"/>
          <w:b/>
          <w:bCs/>
          <w:i/>
          <w:iCs/>
          <w:rtl/>
          <w:lang w:eastAsia="he-IL"/>
        </w:rPr>
        <w:t>תמ"ש (ת"א) 39866/06 י' נ' י' [פורסם בנבו] (20.3.12);</w:t>
      </w:r>
      <w:r w:rsidRPr="003910EA">
        <w:rPr>
          <w:b/>
          <w:bCs/>
          <w:i/>
          <w:iCs/>
          <w:sz w:val="20"/>
          <w:rtl/>
          <w:lang w:eastAsia="he-IL"/>
        </w:rPr>
        <w:t xml:space="preserve"> </w:t>
      </w:r>
      <w:hyperlink r:id="rId24" w:history="1">
        <w:r w:rsidRPr="003910EA">
          <w:rPr>
            <w:rStyle w:val="Hyperlink"/>
            <w:b/>
            <w:bCs/>
            <w:i/>
            <w:iCs/>
            <w:color w:val="auto"/>
            <w:sz w:val="20"/>
            <w:u w:val="none"/>
            <w:rtl/>
            <w:lang w:eastAsia="he-IL"/>
          </w:rPr>
          <w:t>תמ"ש (כ"ס) 658-02-10</w:t>
        </w:r>
      </w:hyperlink>
      <w:r w:rsidRPr="003910EA">
        <w:rPr>
          <w:b/>
          <w:bCs/>
          <w:i/>
          <w:iCs/>
          <w:sz w:val="20"/>
          <w:rtl/>
          <w:lang w:eastAsia="he-IL"/>
        </w:rPr>
        <w:t xml:space="preserve"> ס. ש. נ' י. ק. [פורסם בנבו] (15.12.11);</w:t>
      </w:r>
      <w:r w:rsidRPr="003910EA">
        <w:rPr>
          <w:rFonts w:ascii="Arial" w:hAnsi="Arial"/>
          <w:b/>
          <w:bCs/>
          <w:i/>
          <w:iCs/>
          <w:rtl/>
          <w:lang w:eastAsia="he-IL"/>
        </w:rPr>
        <w:t xml:space="preserve"> </w:t>
      </w:r>
      <w:hyperlink r:id="rId25" w:history="1">
        <w:r w:rsidRPr="003910EA">
          <w:rPr>
            <w:rStyle w:val="Hyperlink"/>
            <w:b/>
            <w:bCs/>
            <w:i/>
            <w:iCs/>
            <w:color w:val="auto"/>
            <w:sz w:val="20"/>
            <w:u w:val="none"/>
            <w:rtl/>
            <w:lang w:eastAsia="he-IL"/>
          </w:rPr>
          <w:t>תמ"ש (י-ם) 13993/02</w:t>
        </w:r>
      </w:hyperlink>
      <w:r w:rsidRPr="003910EA">
        <w:rPr>
          <w:b/>
          <w:bCs/>
          <w:i/>
          <w:iCs/>
          <w:sz w:val="20"/>
          <w:rtl/>
          <w:lang w:eastAsia="he-IL"/>
        </w:rPr>
        <w:t xml:space="preserve"> פלוני נ' פלונית [פורסם בנבו] (15.2.07)</w:t>
      </w:r>
      <w:r w:rsidRPr="003910EA">
        <w:rPr>
          <w:rFonts w:ascii="Arial" w:hAnsi="Arial"/>
          <w:b/>
          <w:bCs/>
          <w:i/>
          <w:iCs/>
          <w:rtl/>
          <w:lang w:eastAsia="he-IL"/>
        </w:rPr>
        <w:t>].</w:t>
      </w:r>
    </w:p>
    <w:p w:rsidR="0013254E" w:rsidRDefault="0013254E" w:rsidP="0013254E">
      <w:pPr>
        <w:spacing w:line="360" w:lineRule="auto"/>
        <w:ind w:left="1842" w:hanging="425"/>
        <w:jc w:val="both"/>
        <w:rPr>
          <w:rFonts w:ascii="Arial" w:hAnsi="Arial"/>
          <w:b/>
          <w:bCs/>
          <w:i/>
          <w:iCs/>
          <w:sz w:val="20"/>
          <w:rtl/>
          <w:lang w:eastAsia="he-IL"/>
        </w:rPr>
      </w:pPr>
    </w:p>
    <w:p w:rsidR="0013254E" w:rsidRDefault="0013254E" w:rsidP="0013254E">
      <w:pPr>
        <w:spacing w:line="360" w:lineRule="auto"/>
        <w:ind w:left="1842" w:hanging="425"/>
        <w:jc w:val="both"/>
        <w:rPr>
          <w:rFonts w:ascii="Arial" w:hAnsi="Arial"/>
          <w:b/>
          <w:bCs/>
          <w:i/>
          <w:iCs/>
          <w:sz w:val="20"/>
          <w:lang w:eastAsia="he-IL"/>
        </w:rPr>
      </w:pPr>
      <w:r>
        <w:rPr>
          <w:rFonts w:ascii="Arial" w:hAnsi="Arial"/>
          <w:b/>
          <w:bCs/>
          <w:i/>
          <w:iCs/>
          <w:rtl/>
          <w:lang w:eastAsia="he-IL"/>
        </w:rPr>
        <w:t>40.</w:t>
      </w:r>
      <w:r>
        <w:rPr>
          <w:rFonts w:ascii="Arial" w:hAnsi="Arial"/>
          <w:b/>
          <w:bCs/>
          <w:i/>
          <w:iCs/>
          <w:rtl/>
          <w:lang w:eastAsia="he-IL"/>
        </w:rPr>
        <w:tab/>
        <w:t xml:space="preserve">ההכרעה בתיקים אלה והקביעה האם היתה הסתה שהביאה לסרבנות קשר ולניכור הורי והאם היא עולה כדי עוולה נזיקית, תיעשה על פי נסיבותיו של כל מקרה ומקרה. </w:t>
      </w:r>
    </w:p>
    <w:p w:rsidR="0013254E" w:rsidRDefault="0013254E" w:rsidP="0013254E">
      <w:pPr>
        <w:spacing w:line="360" w:lineRule="auto"/>
        <w:ind w:left="1842" w:hanging="425"/>
        <w:jc w:val="both"/>
        <w:rPr>
          <w:rFonts w:ascii="Arial" w:hAnsi="Arial"/>
          <w:b/>
          <w:bCs/>
          <w:i/>
          <w:iCs/>
          <w:sz w:val="20"/>
          <w:rtl/>
          <w:lang w:eastAsia="he-IL"/>
        </w:rPr>
      </w:pPr>
    </w:p>
    <w:p w:rsidR="0013254E" w:rsidRPr="003910EA" w:rsidRDefault="0013254E" w:rsidP="0013254E">
      <w:pPr>
        <w:spacing w:line="360" w:lineRule="auto"/>
        <w:ind w:left="1842" w:hanging="425"/>
        <w:contextualSpacing/>
        <w:jc w:val="both"/>
        <w:rPr>
          <w:rFonts w:ascii="David" w:hAnsi="David"/>
          <w:b/>
          <w:bCs/>
          <w:i/>
          <w:iCs/>
        </w:rPr>
      </w:pPr>
      <w:r>
        <w:rPr>
          <w:b/>
          <w:bCs/>
          <w:i/>
          <w:iCs/>
          <w:rtl/>
        </w:rPr>
        <w:lastRenderedPageBreak/>
        <w:t xml:space="preserve">41. </w:t>
      </w:r>
      <w:r>
        <w:rPr>
          <w:b/>
          <w:bCs/>
          <w:i/>
          <w:iCs/>
          <w:rtl/>
        </w:rPr>
        <w:tab/>
        <w:t xml:space="preserve">את העוולה של הפרת חובה חקוקה מרכיבים חמישה יסודות פוזיטיביים: (1) חובה המוטלת על המזיק מכוח חיקוק; (2) החיקוק נועד לטובתו או להגנתו של הניזוק; (3) המזיק הפר את החובה המוטלת עליו; (4) ההפרה גרמה לניזוק נזק; (5) הנזק שנגרם הוא מסוג הנזק אליו נתכוון החיקוק. היסוד הנגטיבי, </w:t>
      </w:r>
      <w:r w:rsidRPr="003910EA">
        <w:rPr>
          <w:b/>
          <w:bCs/>
          <w:i/>
          <w:iCs/>
          <w:rtl/>
        </w:rPr>
        <w:t xml:space="preserve">הקבוע </w:t>
      </w:r>
      <w:hyperlink r:id="rId26" w:history="1">
        <w:r w:rsidRPr="003910EA">
          <w:rPr>
            <w:rStyle w:val="Hyperlink"/>
            <w:b/>
            <w:bCs/>
            <w:i/>
            <w:iCs/>
            <w:color w:val="auto"/>
            <w:u w:val="none"/>
            <w:rtl/>
          </w:rPr>
          <w:t>בסעיף 63(א)</w:t>
        </w:r>
      </w:hyperlink>
      <w:r w:rsidRPr="003910EA">
        <w:rPr>
          <w:b/>
          <w:bCs/>
          <w:i/>
          <w:iCs/>
          <w:rtl/>
        </w:rPr>
        <w:t xml:space="preserve"> סיפא ל</w:t>
      </w:r>
      <w:hyperlink r:id="rId27" w:history="1">
        <w:r w:rsidRPr="003910EA">
          <w:rPr>
            <w:rStyle w:val="Hyperlink"/>
            <w:b/>
            <w:bCs/>
            <w:i/>
            <w:iCs/>
            <w:color w:val="auto"/>
            <w:u w:val="none"/>
            <w:rtl/>
          </w:rPr>
          <w:t>פקודת הנזיקין</w:t>
        </w:r>
      </w:hyperlink>
      <w:r w:rsidRPr="003910EA">
        <w:rPr>
          <w:b/>
          <w:bCs/>
          <w:i/>
          <w:iCs/>
          <w:rtl/>
        </w:rPr>
        <w:t>, הוא שהחיקוק, לפי פירושו הנכון, לא התכוון לשלול את הסעד בנזיקין</w:t>
      </w:r>
      <w:r w:rsidRPr="003910EA">
        <w:rPr>
          <w:rFonts w:ascii="David" w:hAnsi="David"/>
          <w:b/>
          <w:bCs/>
          <w:i/>
          <w:iCs/>
          <w:rtl/>
        </w:rPr>
        <w:t xml:space="preserve"> [</w:t>
      </w:r>
      <w:hyperlink r:id="rId28" w:history="1">
        <w:r w:rsidRPr="003910EA">
          <w:rPr>
            <w:rStyle w:val="Hyperlink"/>
            <w:b/>
            <w:bCs/>
            <w:i/>
            <w:iCs/>
            <w:color w:val="auto"/>
            <w:u w:val="none"/>
            <w:rtl/>
          </w:rPr>
          <w:t>ע"א 878/06</w:t>
        </w:r>
      </w:hyperlink>
      <w:r w:rsidRPr="003910EA">
        <w:rPr>
          <w:rFonts w:ascii="David" w:hAnsi="David"/>
          <w:b/>
          <w:bCs/>
          <w:i/>
          <w:iCs/>
          <w:rtl/>
        </w:rPr>
        <w:t xml:space="preserve"> דב טרויהפט נ' דוד עטיה [פורסם בנבו] (4.1.09)].</w:t>
      </w:r>
    </w:p>
    <w:p w:rsidR="0013254E" w:rsidRDefault="0013254E" w:rsidP="0013254E">
      <w:pPr>
        <w:spacing w:line="360" w:lineRule="auto"/>
        <w:ind w:left="1842" w:hanging="425"/>
        <w:jc w:val="both"/>
        <w:rPr>
          <w:b/>
          <w:bCs/>
          <w:i/>
          <w:iCs/>
          <w:rtl/>
        </w:rPr>
      </w:pPr>
    </w:p>
    <w:p w:rsidR="0013254E" w:rsidRDefault="0013254E" w:rsidP="0013254E">
      <w:pPr>
        <w:spacing w:line="360" w:lineRule="auto"/>
        <w:ind w:left="1842" w:hanging="425"/>
        <w:contextualSpacing/>
        <w:jc w:val="both"/>
        <w:rPr>
          <w:b/>
          <w:bCs/>
          <w:i/>
          <w:iCs/>
        </w:rPr>
      </w:pPr>
      <w:r>
        <w:rPr>
          <w:b/>
          <w:bCs/>
          <w:i/>
          <w:iCs/>
          <w:rtl/>
        </w:rPr>
        <w:t>42.</w:t>
      </w:r>
      <w:r>
        <w:rPr>
          <w:b/>
          <w:bCs/>
          <w:i/>
          <w:iCs/>
          <w:rtl/>
        </w:rPr>
        <w:tab/>
        <w:t xml:space="preserve">לשם יחוס אחריות בעוולת הרשלנות, יש לבחון התקיימותם של ארבעה יסודות, והם: קיומה של חובת זהירות של המעוול כלפי הניזוק; הפרת חובה זו; קיומו של נזק; קשר סיבתי בין ההפרה ובין הנזק. </w:t>
      </w:r>
    </w:p>
    <w:p w:rsidR="0013254E" w:rsidRDefault="0013254E" w:rsidP="0013254E">
      <w:pPr>
        <w:spacing w:line="360" w:lineRule="auto"/>
        <w:ind w:left="1842" w:hanging="425"/>
        <w:contextualSpacing/>
        <w:jc w:val="both"/>
        <w:rPr>
          <w:b/>
          <w:bCs/>
          <w:i/>
          <w:iCs/>
          <w:rtl/>
        </w:rPr>
      </w:pPr>
    </w:p>
    <w:p w:rsidR="0013254E" w:rsidRPr="003910EA" w:rsidRDefault="0013254E" w:rsidP="0013254E">
      <w:pPr>
        <w:spacing w:line="360" w:lineRule="auto"/>
        <w:ind w:left="1842"/>
        <w:contextualSpacing/>
        <w:jc w:val="both"/>
        <w:rPr>
          <w:rFonts w:cs="Miriam"/>
          <w:b/>
          <w:bCs/>
          <w:i/>
          <w:iCs/>
          <w:rtl/>
        </w:rPr>
      </w:pPr>
      <w:r>
        <w:rPr>
          <w:b/>
          <w:bCs/>
          <w:i/>
          <w:iCs/>
          <w:rtl/>
        </w:rPr>
        <w:t xml:space="preserve">קיומה של חובת הזהירות נבחן הן במישור המושגי- תיאורטי והן במישור הקונקרטי. כבר נקבע בפסיקה כי אין דיני הנזיקין נעצרים על מפתנו של התא </w:t>
      </w:r>
      <w:r w:rsidRPr="003910EA">
        <w:rPr>
          <w:b/>
          <w:bCs/>
          <w:i/>
          <w:iCs/>
          <w:rtl/>
        </w:rPr>
        <w:t>המשפחתי (</w:t>
      </w:r>
      <w:hyperlink r:id="rId29" w:history="1">
        <w:r w:rsidRPr="003910EA">
          <w:rPr>
            <w:rStyle w:val="Hyperlink"/>
            <w:b/>
            <w:bCs/>
            <w:i/>
            <w:iCs/>
            <w:color w:val="auto"/>
            <w:u w:val="none"/>
            <w:rtl/>
          </w:rPr>
          <w:t>תמש (כ"ס) 658-02-10</w:t>
        </w:r>
      </w:hyperlink>
      <w:r w:rsidRPr="003910EA">
        <w:rPr>
          <w:b/>
          <w:bCs/>
          <w:i/>
          <w:iCs/>
          <w:rtl/>
        </w:rPr>
        <w:t xml:space="preserve"> ס.ש נ' י.ק (פורסם במאגרים) [פורסם בנבו]) וקיימת חובת זהירות גם בגדרם. נקבע כי בין בני זוג, הורים לילדים, מתקיימים יחסים מיוחדים של תלות וקירבה המקימה חובת זהירות מושגית, כמעט ברורה מאליה, הנובעת מעצם קשר הנישואין. כתיאורה של כב' השופטת נילי מימון (</w:t>
      </w:r>
      <w:hyperlink r:id="rId30" w:history="1">
        <w:r w:rsidRPr="003910EA">
          <w:rPr>
            <w:rStyle w:val="Hyperlink"/>
            <w:b/>
            <w:bCs/>
            <w:i/>
            <w:iCs/>
            <w:color w:val="auto"/>
            <w:u w:val="none"/>
            <w:rtl/>
          </w:rPr>
          <w:t>תמ"ש 20673/04</w:t>
        </w:r>
      </w:hyperlink>
      <w:r w:rsidRPr="003910EA">
        <w:rPr>
          <w:b/>
          <w:bCs/>
          <w:i/>
          <w:iCs/>
          <w:rtl/>
        </w:rPr>
        <w:t xml:space="preserve"> ב.מ. נ' ב.ה.מ. (פורסם בנבו)):</w:t>
      </w:r>
    </w:p>
    <w:p w:rsidR="0013254E" w:rsidRDefault="0013254E" w:rsidP="0013254E">
      <w:pPr>
        <w:spacing w:line="360" w:lineRule="auto"/>
        <w:ind w:left="2880"/>
        <w:contextualSpacing/>
        <w:jc w:val="both"/>
        <w:rPr>
          <w:rFonts w:cs="Miriam"/>
          <w:b/>
          <w:bCs/>
          <w:i/>
          <w:iCs/>
          <w:rtl/>
        </w:rPr>
      </w:pPr>
      <w:r>
        <w:rPr>
          <w:rFonts w:cs="Miriam"/>
          <w:b/>
          <w:bCs/>
          <w:i/>
          <w:iCs/>
          <w:rtl/>
        </w:rPr>
        <w:t>"בין בעל ואשה מתקיימים יחסים מיוחדים, יחסי קרבה, יחסי נאמנות, יחסים רגישים, כאשר על כל אחד מבני הזוג מוטלת חובה לנהוג כלפי האחר בכבוד, הגינות ואנושיות ובאופן שיאפשר לבן הזוג ניהול של אורח חיים תקין וסביר, בכך מתקיימת חובת הזהירות המושגית- יסוד נדרש לקיום עוולת הרשלנות".</w:t>
      </w:r>
    </w:p>
    <w:p w:rsidR="0013254E" w:rsidRPr="003910EA" w:rsidRDefault="0013254E" w:rsidP="0013254E">
      <w:pPr>
        <w:spacing w:line="360" w:lineRule="auto"/>
        <w:ind w:left="1842"/>
        <w:jc w:val="both"/>
        <w:rPr>
          <w:b/>
          <w:bCs/>
          <w:i/>
          <w:iCs/>
          <w:rtl/>
        </w:rPr>
      </w:pPr>
      <w:r w:rsidRPr="003910EA">
        <w:rPr>
          <w:b/>
          <w:bCs/>
          <w:i/>
          <w:iCs/>
          <w:rtl/>
        </w:rPr>
        <w:t>כב' השופט אלבז ניסח זאת כך ב</w:t>
      </w:r>
      <w:hyperlink r:id="rId31" w:history="1">
        <w:r w:rsidRPr="003910EA">
          <w:rPr>
            <w:rStyle w:val="Hyperlink"/>
            <w:b/>
            <w:bCs/>
            <w:i/>
            <w:iCs/>
            <w:color w:val="auto"/>
            <w:u w:val="none"/>
            <w:rtl/>
          </w:rPr>
          <w:t>תמ"ש (י-ם) 13993/02</w:t>
        </w:r>
      </w:hyperlink>
      <w:r w:rsidRPr="003910EA">
        <w:rPr>
          <w:b/>
          <w:bCs/>
          <w:i/>
          <w:iCs/>
          <w:rtl/>
        </w:rPr>
        <w:t xml:space="preserve"> (שם):</w:t>
      </w:r>
    </w:p>
    <w:p w:rsidR="0013254E" w:rsidRDefault="0013254E" w:rsidP="0013254E">
      <w:pPr>
        <w:spacing w:line="360" w:lineRule="auto"/>
        <w:ind w:left="2880"/>
        <w:contextualSpacing/>
        <w:jc w:val="both"/>
        <w:rPr>
          <w:rFonts w:cs="Miriam"/>
          <w:b/>
          <w:bCs/>
          <w:i/>
          <w:iCs/>
          <w:rtl/>
        </w:rPr>
      </w:pPr>
      <w:r>
        <w:rPr>
          <w:rFonts w:cs="Miriam"/>
          <w:b/>
          <w:bCs/>
          <w:i/>
          <w:iCs/>
          <w:rtl/>
        </w:rPr>
        <w:t xml:space="preserve">"הקשר בין שני אנשים, החולקים יחד הורות, הינו קשר יחיד ומיוחד והוא מצטרף לקבוצת הקשרים המשפחתיים כקשרי הורים וילדיהם, קשרי אחים וכיוצ"ב. בעניין זה אין נפקא מינה אם ההורים נשואים אם לאו. זיקה שכזו יוצרת חובת זהירות בכל הקשור לעניינים העולים מתוך הקשר האישי והקרבה המיוחדת והנוגעות לילד המשותף". </w:t>
      </w:r>
    </w:p>
    <w:p w:rsidR="0013254E" w:rsidRDefault="0013254E" w:rsidP="0013254E">
      <w:pPr>
        <w:spacing w:line="360" w:lineRule="auto"/>
        <w:ind w:left="1842" w:hanging="425"/>
        <w:contextualSpacing/>
        <w:jc w:val="both"/>
        <w:rPr>
          <w:b/>
          <w:bCs/>
          <w:i/>
          <w:iCs/>
          <w:rtl/>
        </w:rPr>
      </w:pPr>
    </w:p>
    <w:p w:rsidR="0013254E" w:rsidRDefault="0013254E" w:rsidP="0013254E">
      <w:pPr>
        <w:spacing w:line="360" w:lineRule="auto"/>
        <w:ind w:left="1842" w:hanging="425"/>
        <w:contextualSpacing/>
        <w:jc w:val="both"/>
        <w:rPr>
          <w:b/>
          <w:bCs/>
          <w:i/>
          <w:iCs/>
          <w:rtl/>
        </w:rPr>
      </w:pPr>
      <w:r>
        <w:rPr>
          <w:b/>
          <w:bCs/>
          <w:i/>
          <w:iCs/>
          <w:rtl/>
        </w:rPr>
        <w:lastRenderedPageBreak/>
        <w:t>43.</w:t>
      </w:r>
      <w:r>
        <w:rPr>
          <w:b/>
          <w:bCs/>
          <w:i/>
          <w:iCs/>
          <w:rtl/>
        </w:rPr>
        <w:tab/>
        <w:t>מעשה של הסתה שתוצאתה האפשרית הינה סרבנות קשר וניכור הורי מהווה הפרה של חובת הזהירות המושגית. קיומם של יחסי בני הזוג הורים לילדים מחייבים כל אחד מהם לנהוג כלפי האחר בכבוד, בהגינות ובאנושיות, באופן שיאפשר לילדים קשר עם כל אחד מהם. מניעת קשר מהקטינים עם אחד מההורים, תוך פגיעה אנושה בזכויות ובטובתו של כל אחד מהם, איננה התנהלות של אדם סביר ומקימה מניה וביה הפרה של חובת הזהירות הקונקרטית.</w:t>
      </w:r>
    </w:p>
    <w:p w:rsidR="0013254E" w:rsidRDefault="0013254E" w:rsidP="0013254E">
      <w:pPr>
        <w:spacing w:line="360" w:lineRule="auto"/>
        <w:ind w:left="1842" w:hanging="425"/>
        <w:contextualSpacing/>
        <w:jc w:val="both"/>
        <w:rPr>
          <w:b/>
          <w:bCs/>
          <w:i/>
          <w:iCs/>
        </w:rPr>
      </w:pPr>
    </w:p>
    <w:p w:rsidR="0013254E" w:rsidRDefault="0013254E" w:rsidP="0013254E">
      <w:pPr>
        <w:spacing w:line="360" w:lineRule="auto"/>
        <w:ind w:left="1842" w:hanging="425"/>
        <w:contextualSpacing/>
        <w:jc w:val="both"/>
        <w:rPr>
          <w:b/>
          <w:bCs/>
          <w:i/>
          <w:iCs/>
        </w:rPr>
      </w:pPr>
      <w:r>
        <w:rPr>
          <w:b/>
          <w:bCs/>
          <w:i/>
          <w:iCs/>
          <w:rtl/>
        </w:rPr>
        <w:t>44.</w:t>
      </w:r>
      <w:r>
        <w:rPr>
          <w:b/>
          <w:bCs/>
          <w:i/>
          <w:iCs/>
          <w:rtl/>
        </w:rPr>
        <w:tab/>
        <w:t xml:space="preserve">כך מתקיים אף יסוד הצפיות. בהיבט של חובת הזהירות הקונקרטית מהותו של מבחן הצפיות הינו אם אדם סביר יכול היה וצריך היה לצפות, בנסיבותיו של המקרה הקונקרטי, את התרחשות הנזק, תוך התחשבות במזיק הספציפי, </w:t>
      </w:r>
      <w:r w:rsidRPr="003910EA">
        <w:rPr>
          <w:b/>
          <w:bCs/>
          <w:i/>
          <w:iCs/>
          <w:rtl/>
        </w:rPr>
        <w:t>בניזוק הספציפי בנזק הספציפי ובהתנהגות הספציפית (</w:t>
      </w:r>
      <w:hyperlink r:id="rId32" w:history="1">
        <w:r w:rsidRPr="003910EA">
          <w:rPr>
            <w:rStyle w:val="Hyperlink"/>
            <w:b/>
            <w:bCs/>
            <w:i/>
            <w:iCs/>
            <w:color w:val="auto"/>
            <w:u w:val="none"/>
            <w:rtl/>
          </w:rPr>
          <w:t>ע"א 145/80 ועקנין נ' המועצה המקומית בית שמש פ"ד ל"ז</w:t>
        </w:r>
      </w:hyperlink>
      <w:r w:rsidRPr="003910EA">
        <w:rPr>
          <w:b/>
          <w:bCs/>
          <w:i/>
          <w:iCs/>
          <w:rtl/>
        </w:rPr>
        <w:t xml:space="preserve">(1), 113).  אין ספק כי מניעת מפגש בין </w:t>
      </w:r>
      <w:r>
        <w:rPr>
          <w:b/>
          <w:bCs/>
          <w:i/>
          <w:iCs/>
          <w:rtl/>
        </w:rPr>
        <w:t>הורה לילדו או חבלה בקשר זה, עלולים לפגוע בקשר ההורי ובמקרים חמורים אף להוביל לניתוק הקשר, וכי כל אדם סביר צריך היה לצפות זאת. אדם סביר יכול היה לצפות כי עקב הסתה של ילדיו ומניעת קשר שלהם עם ההורה האחר יתרחש נזק. הורה מסית מודע, או חייב להיות מודע, לנזקים שנגרמים הן לילד והן להורה המנוכר. הורה כזה יכול לצפות כי התנהגותו תגרום להורה המנוכר סבל רב.</w:t>
      </w:r>
    </w:p>
    <w:p w:rsidR="0013254E" w:rsidRDefault="0013254E" w:rsidP="0013254E">
      <w:pPr>
        <w:spacing w:line="360" w:lineRule="auto"/>
        <w:ind w:left="1842"/>
        <w:contextualSpacing/>
        <w:jc w:val="both"/>
        <w:rPr>
          <w:b/>
          <w:bCs/>
          <w:i/>
          <w:iCs/>
          <w:rtl/>
        </w:rPr>
      </w:pPr>
      <w:r>
        <w:rPr>
          <w:b/>
          <w:bCs/>
          <w:i/>
          <w:iCs/>
          <w:rtl/>
        </w:rPr>
        <w:t>יתרה מזאת, קשה להתעלם מהעובדה שהתנהגותו של הורה מסית הינה זדונית לעיתים קרובות. קיומו של זדון מעיד, מכח קל וחומר, על קיומה של צפיות. מי שמתכוון לגרום נזק ופועל לשם מימוש כוונתו צופה בוודאי שהנזק המתוכנן יגרם.</w:t>
      </w:r>
      <w:r>
        <w:rPr>
          <w:rFonts w:hint="cs"/>
          <w:b/>
          <w:bCs/>
          <w:i/>
          <w:iCs/>
        </w:rPr>
        <w:t xml:space="preserve"> </w:t>
      </w:r>
    </w:p>
    <w:p w:rsidR="0013254E" w:rsidRPr="003910EA" w:rsidRDefault="0013254E" w:rsidP="0013254E">
      <w:pPr>
        <w:spacing w:line="360" w:lineRule="auto"/>
        <w:ind w:left="1842"/>
        <w:contextualSpacing/>
        <w:jc w:val="both"/>
        <w:rPr>
          <w:rFonts w:ascii="Arial" w:hAnsi="Arial"/>
          <w:b/>
          <w:bCs/>
          <w:noProof w:val="0"/>
          <w:rtl/>
        </w:rPr>
      </w:pPr>
      <w:r>
        <w:rPr>
          <w:b/>
          <w:bCs/>
          <w:i/>
          <w:iCs/>
          <w:rtl/>
        </w:rPr>
        <w:t xml:space="preserve">ניתן להטיל אחריות נזיקית בגין עוולת הרשלנות גם בגין מעשה מכוון, כאשר שיקולי מדיניות מצדיקים זאת. כך הוא, במובהק, כאשר מדובר בהסתה של קטינים הנתונים במשמורת אמם למניעת קשר בינם לבין אביהם (השווו: </w:t>
      </w:r>
      <w:hyperlink r:id="rId33" w:history="1">
        <w:r w:rsidRPr="003910EA">
          <w:rPr>
            <w:rStyle w:val="Hyperlink"/>
            <w:b/>
            <w:bCs/>
            <w:i/>
            <w:iCs/>
            <w:color w:val="auto"/>
            <w:u w:val="none"/>
            <w:rtl/>
          </w:rPr>
          <w:t>ע"א 593/81 מפעלי רכב אשדוד בע"מ נ' אדם ציזיק ז"ל, פ"ד מא</w:t>
        </w:r>
      </w:hyperlink>
      <w:r w:rsidRPr="003910EA">
        <w:rPr>
          <w:b/>
          <w:bCs/>
          <w:i/>
          <w:iCs/>
          <w:rtl/>
        </w:rPr>
        <w:t>(3) 169, 196-197). על פי הפסיקה, בגדר מעשה או מחדל רשלני יכול לבוא אף מעשה רצוני או זדוני אשר אינו סביר בקנה מידה אובייקטיבי (</w:t>
      </w:r>
      <w:hyperlink r:id="rId34" w:history="1">
        <w:r w:rsidRPr="003910EA">
          <w:rPr>
            <w:rStyle w:val="Hyperlink"/>
            <w:b/>
            <w:bCs/>
            <w:i/>
            <w:iCs/>
            <w:color w:val="auto"/>
            <w:u w:val="none"/>
            <w:rtl/>
          </w:rPr>
          <w:t>ע"א 2034/98 אמין נ' אמין ואח', פ"ד נג</w:t>
        </w:r>
      </w:hyperlink>
      <w:r w:rsidRPr="003910EA">
        <w:rPr>
          <w:b/>
          <w:bCs/>
          <w:i/>
          <w:iCs/>
          <w:rtl/>
        </w:rPr>
        <w:t>(5) 69).</w:t>
      </w:r>
    </w:p>
    <w:p w:rsidR="0013254E" w:rsidRDefault="0013254E" w:rsidP="0013254E">
      <w:pPr>
        <w:spacing w:line="360" w:lineRule="auto"/>
        <w:ind w:left="567" w:hanging="567"/>
        <w:jc w:val="both"/>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 xml:space="preserve">כבוד השופטת א. בן דור-ליבל </w:t>
      </w:r>
      <w:r>
        <w:rPr>
          <w:rFonts w:ascii="Arial" w:hAnsi="Arial" w:hint="cs"/>
          <w:noProof w:val="0"/>
          <w:rtl/>
        </w:rPr>
        <w:t>גם כתבה</w:t>
      </w:r>
      <w:r>
        <w:rPr>
          <w:rFonts w:ascii="Arial" w:hAnsi="Arial"/>
          <w:noProof w:val="0"/>
          <w:rtl/>
        </w:rPr>
        <w:t xml:space="preserve"> (סעיף 48 לפסק הדין) על שאלת רע"א 901/07 </w:t>
      </w:r>
      <w:r>
        <w:rPr>
          <w:rFonts w:ascii="Arial" w:hAnsi="Arial"/>
          <w:b/>
          <w:bCs/>
          <w:noProof w:val="0"/>
          <w:rtl/>
        </w:rPr>
        <w:t>מדינת ישראל נ' ליפל</w:t>
      </w:r>
      <w:r>
        <w:rPr>
          <w:rFonts w:ascii="Arial" w:hAnsi="Arial"/>
          <w:noProof w:val="0"/>
          <w:rtl/>
        </w:rPr>
        <w:t xml:space="preserve"> (פמ"מ – 20.10.2017) המפורסמת והמכונה </w:t>
      </w:r>
      <w:r>
        <w:rPr>
          <w:rFonts w:ascii="Arial" w:hAnsi="Arial"/>
          <w:b/>
          <w:bCs/>
          <w:noProof w:val="0"/>
          <w:rtl/>
        </w:rPr>
        <w:t>"הלכת גיא ליפל"</w:t>
      </w:r>
      <w:r>
        <w:rPr>
          <w:rFonts w:ascii="Arial" w:hAnsi="Arial"/>
          <w:noProof w:val="0"/>
          <w:rtl/>
        </w:rPr>
        <w:t xml:space="preserve">.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spacing w:line="360" w:lineRule="auto"/>
        <w:ind w:left="567"/>
        <w:jc w:val="both"/>
        <w:rPr>
          <w:rFonts w:ascii="Arial" w:hAnsi="Arial"/>
          <w:noProof w:val="0"/>
        </w:rPr>
      </w:pPr>
      <w:r w:rsidRPr="00CF75E8">
        <w:rPr>
          <w:rFonts w:ascii="Arial" w:hAnsi="Arial"/>
          <w:noProof w:val="0"/>
          <w:rtl/>
        </w:rPr>
        <w:lastRenderedPageBreak/>
        <w:t xml:space="preserve">דיונה של כבוד השופטת באותה הלכה התייחס לשאלות התיישנות, אך בכאן ראוי להזכיר את אמירתו של כבוד השופט י. עמית ולפיה בהינתן עוולה ספציפית, אין צורך לפנות לעוולת הרשלנות. </w:t>
      </w:r>
    </w:p>
    <w:p w:rsidR="0013254E" w:rsidRDefault="0013254E" w:rsidP="0013254E">
      <w:pPr>
        <w:spacing w:line="360" w:lineRule="auto"/>
        <w:ind w:left="567" w:hanging="567"/>
        <w:jc w:val="both"/>
        <w:rPr>
          <w:rFonts w:ascii="Arial" w:hAnsi="Arial"/>
          <w:b/>
          <w:bCs/>
          <w:noProof w:val="0"/>
          <w:u w:val="single"/>
          <w:rtl/>
        </w:rPr>
      </w:pPr>
      <w:r>
        <w:rPr>
          <w:rFonts w:ascii="Arial" w:hAnsi="Arial"/>
          <w:b/>
          <w:bCs/>
          <w:noProof w:val="0"/>
          <w:u w:val="single"/>
          <w:rtl/>
        </w:rPr>
        <w:t>רשלנות</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 xml:space="preserve">וכך לשון סעיפים </w:t>
      </w:r>
      <w:r>
        <w:rPr>
          <w:rFonts w:ascii="Arial" w:hAnsi="Arial"/>
          <w:b/>
          <w:bCs/>
          <w:noProof w:val="0"/>
          <w:rtl/>
        </w:rPr>
        <w:t>35-36</w:t>
      </w:r>
      <w:r>
        <w:rPr>
          <w:rFonts w:ascii="Arial" w:hAnsi="Arial"/>
          <w:noProof w:val="0"/>
          <w:rtl/>
        </w:rPr>
        <w:t xml:space="preserve"> לפקודת הנזיקין (נוסח חדש): </w:t>
      </w:r>
    </w:p>
    <w:p w:rsidR="0013254E" w:rsidRDefault="0013254E" w:rsidP="0013254E">
      <w:pPr>
        <w:spacing w:line="360" w:lineRule="auto"/>
        <w:ind w:left="567" w:hanging="567"/>
        <w:jc w:val="both"/>
        <w:rPr>
          <w:rFonts w:ascii="Arial" w:hAnsi="Arial"/>
          <w:noProof w:val="0"/>
        </w:rPr>
      </w:pPr>
    </w:p>
    <w:p w:rsidR="0013254E" w:rsidRDefault="0013254E" w:rsidP="0013254E">
      <w:pPr>
        <w:spacing w:line="360" w:lineRule="auto"/>
        <w:ind w:left="2160" w:hanging="720"/>
        <w:jc w:val="both"/>
        <w:rPr>
          <w:rFonts w:ascii="Arial" w:hAnsi="Arial"/>
          <w:b/>
          <w:bCs/>
          <w:i/>
          <w:iCs/>
          <w:noProof w:val="0"/>
          <w:rtl/>
        </w:rPr>
      </w:pPr>
      <w:r>
        <w:rPr>
          <w:rFonts w:ascii="Arial" w:hAnsi="Arial"/>
          <w:b/>
          <w:bCs/>
          <w:i/>
          <w:iCs/>
          <w:noProof w:val="0"/>
          <w:rtl/>
        </w:rPr>
        <w:t xml:space="preserve">"35. </w:t>
      </w:r>
      <w:r>
        <w:rPr>
          <w:rFonts w:ascii="Arial" w:hAnsi="Arial"/>
          <w:b/>
          <w:bCs/>
          <w:i/>
          <w:iCs/>
          <w:noProof w:val="0"/>
          <w:rtl/>
        </w:rPr>
        <w:tab/>
        <w:t xml:space="preserve">עשה אדם מעשה שאדם סביר ונבון לא היה עושה באותן נסיבות, או לא עשה מעשה שאדם סביר ונבון היה עושה באותן נסיבות, או שבמשלח יד פלוני לא השתמש במיומנות, או לא נקט מידת זהירות, שאדם סביר ונבון וכשיר לפעול באותו משלח יד היה משתמש או נקוט באותן נסיבות – הרי זו התרשלות; ואם התרשל כאמור ביחס לאדם אחר, שלגביו יש לו באותן נסיבות חובה שלא לנהוג כפי שנהג, הרי זו רשלנות, והגורם ברשלנותו נזק לזולתו עושה עוולה. </w:t>
      </w:r>
    </w:p>
    <w:p w:rsidR="0013254E" w:rsidRDefault="0013254E" w:rsidP="0013254E">
      <w:pPr>
        <w:spacing w:line="360" w:lineRule="auto"/>
        <w:ind w:left="567" w:hanging="567"/>
        <w:jc w:val="both"/>
        <w:rPr>
          <w:rFonts w:ascii="Arial" w:hAnsi="Arial"/>
          <w:b/>
          <w:bCs/>
          <w:i/>
          <w:iCs/>
          <w:noProof w:val="0"/>
          <w:rtl/>
        </w:rPr>
      </w:pPr>
    </w:p>
    <w:p w:rsidR="0013254E" w:rsidRDefault="0013254E" w:rsidP="0013254E">
      <w:pPr>
        <w:spacing w:line="360" w:lineRule="auto"/>
        <w:ind w:left="2160" w:hanging="570"/>
        <w:jc w:val="both"/>
        <w:rPr>
          <w:rFonts w:ascii="Arial" w:hAnsi="Arial"/>
          <w:noProof w:val="0"/>
          <w:rtl/>
        </w:rPr>
      </w:pPr>
      <w:r>
        <w:rPr>
          <w:rtl/>
        </w:rPr>
        <mc:AlternateContent>
          <mc:Choice Requires="wps">
            <w:drawing>
              <wp:anchor distT="45720" distB="45720" distL="114300" distR="114300" simplePos="0" relativeHeight="251665408" behindDoc="0" locked="0" layoutInCell="1" allowOverlap="1" wp14:anchorId="1ED64DBB" wp14:editId="1E70CCB6">
                <wp:simplePos x="0" y="0"/>
                <wp:positionH relativeFrom="margin">
                  <wp:posOffset>4554220</wp:posOffset>
                </wp:positionH>
                <wp:positionV relativeFrom="paragraph">
                  <wp:posOffset>6350</wp:posOffset>
                </wp:positionV>
                <wp:extent cx="807085" cy="203835"/>
                <wp:effectExtent l="0" t="0" r="0" b="1270"/>
                <wp:wrapSquare wrapText="bothSides"/>
                <wp:docPr id="3" name="תיבת טקסט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07085" cy="19494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13254E" w:rsidRDefault="0013254E" w:rsidP="0013254E">
                            <w:pPr>
                              <w:rPr>
                                <w:rFonts w:cs="Miriam"/>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ED64DBB" id="_x0000_t202" coordsize="21600,21600" o:spt="202" path="m,l,21600r21600,l21600,xe">
                <v:stroke joinstyle="miter"/>
                <v:path gradientshapeok="t" o:connecttype="rect"/>
              </v:shapetype>
              <v:shape id="תיבת טקסט 3" o:spid="_x0000_s1026" type="#_x0000_t202" style="position:absolute;left:0;text-align:left;margin-left:358.6pt;margin-top:.5pt;width:63.55pt;height:16.05pt;flip:x;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" filled="f" stroked="f">
                <v:textbox style="mso-fit-shape-to-text:t">
                  <w:txbxContent>
                    <w:p w:rsidR="0013254E" w:rsidRDefault="0013254E" w:rsidP="0013254E">
                      <w:pPr>
                        <w:rPr>
                          <w:rFonts w:cs="Miriam"/>
                          <w:sz w:val="16"/>
                          <w:szCs w:val="16"/>
                        </w:rPr>
                      </w:pPr>
                    </w:p>
                  </w:txbxContent>
                </v:textbox>
                <w10:wrap type="square" anchorx="margin"/>
              </v:shape>
            </w:pict>
          </mc:Fallback>
        </mc:AlternateContent>
      </w:r>
      <w:r>
        <w:rPr>
          <w:rFonts w:ascii="Arial" w:hAnsi="Arial"/>
          <w:b/>
          <w:bCs/>
          <w:i/>
          <w:iCs/>
          <w:noProof w:val="0"/>
          <w:rtl/>
        </w:rPr>
        <w:t>36.</w:t>
      </w:r>
      <w:r>
        <w:rPr>
          <w:rFonts w:ascii="Arial" w:hAnsi="Arial"/>
          <w:b/>
          <w:bCs/>
          <w:i/>
          <w:iCs/>
          <w:noProof w:val="0"/>
          <w:rtl/>
        </w:rPr>
        <w:tab/>
        <w:t>החובה האמורה בסעיף 35 מוטלת כלפי כל אדם וכלפי בעל כל נכס, כל אימת שאדם סביר צריך היה באותן נסיבות לראות מראש שהם עלולים במהלכם הרגיל של דברים להיפגע ממעשה או ממחדל המפורשים באותו סעיף."</w:t>
      </w:r>
      <w:r>
        <w:rPr>
          <w:rFonts w:ascii="Arial" w:hAnsi="Arial"/>
          <w:noProof w:val="0"/>
          <w:rtl/>
        </w:rPr>
        <w:t xml:space="preserve"> </w:t>
      </w:r>
    </w:p>
    <w:p w:rsidR="0013254E" w:rsidRDefault="0013254E" w:rsidP="0013254E">
      <w:pPr>
        <w:spacing w:line="360" w:lineRule="auto"/>
        <w:jc w:val="both"/>
        <w:rPr>
          <w:rFonts w:ascii="Arial" w:hAnsi="Arial"/>
          <w:noProof w:val="0"/>
        </w:rPr>
      </w:pPr>
    </w:p>
    <w:p w:rsidR="0013254E" w:rsidRDefault="0013254E" w:rsidP="0013254E">
      <w:pPr>
        <w:spacing w:line="360" w:lineRule="auto"/>
        <w:ind w:left="567" w:hanging="567"/>
        <w:jc w:val="both"/>
        <w:rPr>
          <w:rFonts w:ascii="Arial" w:hAnsi="Arial"/>
          <w:b/>
          <w:bCs/>
          <w:noProof w:val="0"/>
          <w:u w:val="single"/>
          <w:rtl/>
        </w:rPr>
      </w:pPr>
      <w:r>
        <w:rPr>
          <w:rFonts w:ascii="Arial" w:hAnsi="Arial"/>
          <w:b/>
          <w:bCs/>
          <w:noProof w:val="0"/>
          <w:u w:val="single"/>
          <w:rtl/>
        </w:rPr>
        <w:t>על סבירות ותום לב</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גרם נתק בקשר הורי </w:t>
      </w:r>
      <w:r>
        <w:rPr>
          <w:rFonts w:ascii="Arial" w:hAnsi="Arial"/>
          <w:noProof w:val="0"/>
          <w:rtl/>
        </w:rPr>
        <w:t>אינה רק עוולה נזיקית, יש בה משום הצדק לתובענה חוזית גם על-פי חוק החוזים (תרופות) בשל הפרת חוזה</w:t>
      </w:r>
      <w:r>
        <w:rPr>
          <w:rFonts w:ascii="Arial" w:hAnsi="Arial" w:hint="cs"/>
          <w:noProof w:val="0"/>
          <w:rtl/>
        </w:rPr>
        <w:t>.</w:t>
      </w:r>
    </w:p>
    <w:p w:rsidR="0013254E" w:rsidRDefault="0013254E" w:rsidP="0013254E">
      <w:pPr>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עוד ב</w:t>
      </w:r>
      <w:r w:rsidRPr="00F80A3B">
        <w:rPr>
          <w:rFonts w:ascii="Arial" w:hAnsi="Arial"/>
          <w:noProof w:val="0"/>
          <w:rtl/>
        </w:rPr>
        <w:t>תמ"ש (ת"א) 23849-08-10</w:t>
      </w:r>
      <w:r w:rsidRPr="00CF75E8">
        <w:rPr>
          <w:rFonts w:ascii="Arial" w:hAnsi="Arial"/>
          <w:b/>
          <w:bCs/>
          <w:noProof w:val="0"/>
          <w:rtl/>
        </w:rPr>
        <w:t xml:space="preserve"> י. ק. נ' ב. ש. ק</w:t>
      </w:r>
      <w:r>
        <w:rPr>
          <w:rFonts w:ascii="Arial" w:hAnsi="Arial"/>
          <w:noProof w:val="0"/>
          <w:rtl/>
        </w:rPr>
        <w:t xml:space="preserve"> (פמ"מ – 09.10.2011), אשר ערעור עליו לא צלח אלא לעניין הפחתת מה בגובה הפיצוי, כתבתי, בין השאר, כך: </w:t>
      </w:r>
    </w:p>
    <w:p w:rsidR="0013254E" w:rsidRPr="0011782B" w:rsidRDefault="0013254E" w:rsidP="0013254E">
      <w:pPr>
        <w:pStyle w:val="af1"/>
        <w:rPr>
          <w:rFonts w:ascii="Arial" w:hAnsi="Arial"/>
          <w:noProof w:val="0"/>
          <w:rtl/>
        </w:rPr>
      </w:pPr>
    </w:p>
    <w:p w:rsidR="0013254E" w:rsidRDefault="0013254E" w:rsidP="0013254E">
      <w:pPr>
        <w:spacing w:line="360" w:lineRule="auto"/>
        <w:ind w:left="2007" w:hanging="567"/>
        <w:rPr>
          <w:b/>
          <w:bCs/>
          <w:i/>
          <w:iCs/>
          <w:u w:val="single"/>
          <w:rtl/>
        </w:rPr>
      </w:pPr>
      <w:r>
        <w:rPr>
          <w:b/>
          <w:bCs/>
          <w:i/>
          <w:iCs/>
          <w:rtl/>
        </w:rPr>
        <w:t>"</w:t>
      </w:r>
      <w:r>
        <w:rPr>
          <w:b/>
          <w:bCs/>
          <w:i/>
          <w:iCs/>
          <w:u w:val="single"/>
          <w:rtl/>
        </w:rPr>
        <w:t>המסגרת הנורמטיבית – החוזה המשפחתי</w:t>
      </w:r>
    </w:p>
    <w:p w:rsidR="0013254E" w:rsidRPr="0011782B" w:rsidRDefault="0013254E" w:rsidP="0013254E">
      <w:pPr>
        <w:spacing w:line="360" w:lineRule="auto"/>
        <w:ind w:left="567" w:hanging="567"/>
        <w:rPr>
          <w:i/>
          <w:iCs/>
          <w:sz w:val="14"/>
          <w:szCs w:val="14"/>
          <w:rtl/>
        </w:rPr>
      </w:pPr>
    </w:p>
    <w:p w:rsidR="0013254E" w:rsidRDefault="0013254E" w:rsidP="0013254E">
      <w:pPr>
        <w:spacing w:line="360" w:lineRule="auto"/>
        <w:ind w:left="2007" w:hanging="567"/>
        <w:jc w:val="both"/>
        <w:rPr>
          <w:b/>
          <w:bCs/>
          <w:i/>
          <w:iCs/>
          <w:rtl/>
        </w:rPr>
      </w:pPr>
      <w:r>
        <w:rPr>
          <w:b/>
          <w:bCs/>
          <w:i/>
          <w:iCs/>
          <w:rtl/>
        </w:rPr>
        <w:t>43. </w:t>
      </w:r>
      <w:r>
        <w:rPr>
          <w:b/>
          <w:bCs/>
          <w:i/>
          <w:iCs/>
          <w:rtl/>
        </w:rPr>
        <w:tab/>
        <w:t>כפי שציינתי בראש פס"ד זה אזי, לטעמי, כאשר הופך אדם כשיר להתדיינות בהליכי בית המשפט לענייני משפחה ו/או בית דין דתי, נשוי כגרוש, ידוע בציבור כזר כמעט מוחלט, יש לקרוא עליו ועל בן זוגו או יריבו להליכים המתנהלים בפני הטריבונלים לעיל, חוזה יחודי לאותם יחסים.</w:t>
      </w:r>
    </w:p>
    <w:p w:rsidR="0013254E" w:rsidRDefault="0013254E" w:rsidP="0013254E">
      <w:pPr>
        <w:spacing w:line="360" w:lineRule="auto"/>
        <w:ind w:left="567" w:hanging="567"/>
        <w:rPr>
          <w:i/>
          <w:iCs/>
          <w:rtl/>
        </w:rPr>
      </w:pPr>
    </w:p>
    <w:p w:rsidR="0013254E" w:rsidRDefault="0013254E" w:rsidP="0013254E">
      <w:pPr>
        <w:spacing w:line="360" w:lineRule="auto"/>
        <w:ind w:left="2007" w:hanging="567"/>
        <w:jc w:val="both"/>
        <w:rPr>
          <w:b/>
          <w:bCs/>
          <w:i/>
          <w:iCs/>
          <w:rtl/>
        </w:rPr>
      </w:pPr>
      <w:r>
        <w:rPr>
          <w:b/>
          <w:bCs/>
          <w:i/>
          <w:iCs/>
          <w:rtl/>
        </w:rPr>
        <w:t>44. </w:t>
      </w:r>
      <w:r>
        <w:rPr>
          <w:b/>
          <w:bCs/>
          <w:i/>
          <w:iCs/>
          <w:rtl/>
        </w:rPr>
        <w:tab/>
        <w:t xml:space="preserve">אותו חוזה אינו פוקע גם לעת גירושי אדם או פרידתו מבן זוגו ותומו אינו אלא כאשר ניתק החוט האחרון הקושר את השניים - כמשפחה. </w:t>
      </w:r>
    </w:p>
    <w:p w:rsidR="0013254E" w:rsidRDefault="0013254E" w:rsidP="0013254E">
      <w:pPr>
        <w:spacing w:line="360" w:lineRule="auto"/>
        <w:ind w:left="567" w:hanging="567"/>
        <w:rPr>
          <w:i/>
          <w:iCs/>
          <w:rtl/>
        </w:rPr>
      </w:pPr>
    </w:p>
    <w:p w:rsidR="0013254E" w:rsidRDefault="0013254E" w:rsidP="0013254E">
      <w:pPr>
        <w:spacing w:line="360" w:lineRule="auto"/>
        <w:ind w:left="2007" w:hanging="567"/>
        <w:jc w:val="both"/>
        <w:rPr>
          <w:b/>
          <w:bCs/>
          <w:i/>
          <w:iCs/>
          <w:rtl/>
        </w:rPr>
      </w:pPr>
      <w:r>
        <w:rPr>
          <w:b/>
          <w:bCs/>
          <w:i/>
          <w:iCs/>
          <w:rtl/>
        </w:rPr>
        <w:t>45.  </w:t>
      </w:r>
      <w:r>
        <w:rPr>
          <w:b/>
          <w:bCs/>
          <w:i/>
          <w:iCs/>
          <w:rtl/>
        </w:rPr>
        <w:tab/>
        <w:t xml:space="preserve">צד לחוזה זה, שמא אקרא לו חוזה משפחתי או חוזה ליחסי משפחה, זוכה בדין הנוהג בישראל לזכויות מיוחדות, ואפילו למערכת דינים מיוחדת, ובכלל זאת: </w:t>
      </w:r>
    </w:p>
    <w:p w:rsidR="0013254E" w:rsidRDefault="0013254E" w:rsidP="0013254E">
      <w:pPr>
        <w:spacing w:line="360" w:lineRule="auto"/>
        <w:ind w:left="2835" w:hanging="284"/>
        <w:rPr>
          <w:b/>
          <w:bCs/>
          <w:i/>
          <w:iCs/>
          <w:rtl/>
        </w:rPr>
      </w:pPr>
      <w:r>
        <w:rPr>
          <w:b/>
          <w:bCs/>
          <w:i/>
          <w:iCs/>
          <w:rtl/>
        </w:rPr>
        <w:t>- </w:t>
      </w:r>
      <w:r>
        <w:rPr>
          <w:b/>
          <w:bCs/>
          <w:i/>
          <w:iCs/>
          <w:rtl/>
        </w:rPr>
        <w:tab/>
        <w:t>חוק יחסי ממון.</w:t>
      </w:r>
    </w:p>
    <w:p w:rsidR="0013254E" w:rsidRDefault="0013254E" w:rsidP="0013254E">
      <w:pPr>
        <w:spacing w:line="360" w:lineRule="auto"/>
        <w:ind w:left="2835" w:hanging="284"/>
        <w:rPr>
          <w:b/>
          <w:bCs/>
          <w:i/>
          <w:iCs/>
          <w:rtl/>
        </w:rPr>
      </w:pPr>
      <w:r>
        <w:rPr>
          <w:b/>
          <w:bCs/>
          <w:i/>
          <w:iCs/>
          <w:rtl/>
        </w:rPr>
        <w:t>-   </w:t>
      </w:r>
      <w:r>
        <w:rPr>
          <w:b/>
          <w:bCs/>
          <w:i/>
          <w:iCs/>
          <w:rtl/>
        </w:rPr>
        <w:tab/>
        <w:t xml:space="preserve">הזכות והחיוב לבוא לעיתים בשערי בית דין דתי. </w:t>
      </w:r>
    </w:p>
    <w:p w:rsidR="0013254E" w:rsidRDefault="0013254E" w:rsidP="0013254E">
      <w:pPr>
        <w:spacing w:line="360" w:lineRule="auto"/>
        <w:ind w:left="2835" w:hanging="284"/>
        <w:rPr>
          <w:b/>
          <w:bCs/>
          <w:i/>
          <w:iCs/>
          <w:rtl/>
        </w:rPr>
      </w:pPr>
      <w:r>
        <w:rPr>
          <w:b/>
          <w:bCs/>
          <w:i/>
          <w:iCs/>
          <w:rtl/>
        </w:rPr>
        <w:t>-  </w:t>
      </w:r>
      <w:r>
        <w:rPr>
          <w:b/>
          <w:bCs/>
          <w:i/>
          <w:iCs/>
          <w:rtl/>
        </w:rPr>
        <w:tab/>
        <w:t xml:space="preserve">הזכות והחיוב לעיתים לתשלומי כתובה או מוהר. </w:t>
      </w:r>
    </w:p>
    <w:p w:rsidR="0013254E" w:rsidRDefault="0013254E" w:rsidP="0013254E">
      <w:pPr>
        <w:spacing w:line="360" w:lineRule="auto"/>
        <w:ind w:left="2835" w:hanging="284"/>
        <w:rPr>
          <w:b/>
          <w:bCs/>
          <w:i/>
          <w:iCs/>
          <w:rtl/>
        </w:rPr>
      </w:pPr>
      <w:r>
        <w:rPr>
          <w:b/>
          <w:bCs/>
          <w:i/>
          <w:iCs/>
          <w:rtl/>
        </w:rPr>
        <w:t>-  </w:t>
      </w:r>
      <w:r>
        <w:rPr>
          <w:b/>
          <w:bCs/>
          <w:i/>
          <w:iCs/>
          <w:rtl/>
        </w:rPr>
        <w:tab/>
        <w:t xml:space="preserve">הזכות והחובה לקשר עם יוצא חלציים. </w:t>
      </w:r>
    </w:p>
    <w:p w:rsidR="0013254E" w:rsidRDefault="0013254E" w:rsidP="0013254E">
      <w:pPr>
        <w:spacing w:line="360" w:lineRule="auto"/>
        <w:ind w:left="2835" w:right="-142" w:hanging="284"/>
        <w:rPr>
          <w:b/>
          <w:bCs/>
          <w:i/>
          <w:iCs/>
          <w:rtl/>
        </w:rPr>
      </w:pPr>
      <w:r>
        <w:rPr>
          <w:b/>
          <w:bCs/>
          <w:i/>
          <w:iCs/>
          <w:rtl/>
        </w:rPr>
        <w:t>-  </w:t>
      </w:r>
      <w:r>
        <w:rPr>
          <w:b/>
          <w:bCs/>
          <w:i/>
          <w:iCs/>
          <w:rtl/>
        </w:rPr>
        <w:tab/>
        <w:t xml:space="preserve">זכויות מיוחדות בדיני הירושה, העבודה והביטוח הלאומי. </w:t>
      </w:r>
    </w:p>
    <w:p w:rsidR="0013254E" w:rsidRDefault="0013254E" w:rsidP="0013254E">
      <w:pPr>
        <w:spacing w:line="360" w:lineRule="auto"/>
        <w:ind w:left="2835" w:hanging="284"/>
        <w:jc w:val="both"/>
        <w:rPr>
          <w:b/>
          <w:bCs/>
          <w:i/>
          <w:iCs/>
          <w:rtl/>
        </w:rPr>
      </w:pPr>
      <w:r>
        <w:rPr>
          <w:b/>
          <w:bCs/>
          <w:i/>
          <w:iCs/>
          <w:rtl/>
        </w:rPr>
        <w:t>-  </w:t>
      </w:r>
      <w:r>
        <w:rPr>
          <w:b/>
          <w:bCs/>
          <w:i/>
          <w:iCs/>
          <w:rtl/>
        </w:rPr>
        <w:tab/>
        <w:t>חזקות והוראות שבדין בדבר שיתוף רכושי - עד כדי</w:t>
      </w:r>
      <w:r>
        <w:rPr>
          <w:rFonts w:hint="cs"/>
          <w:b/>
          <w:bCs/>
          <w:i/>
          <w:iCs/>
          <w:rtl/>
        </w:rPr>
        <w:t xml:space="preserve"> </w:t>
      </w:r>
      <w:r>
        <w:rPr>
          <w:b/>
          <w:bCs/>
          <w:i/>
          <w:iCs/>
          <w:rtl/>
        </w:rPr>
        <w:t>שיתוף</w:t>
      </w:r>
      <w:r>
        <w:rPr>
          <w:rFonts w:hint="cs"/>
          <w:b/>
          <w:bCs/>
          <w:i/>
          <w:iCs/>
          <w:rtl/>
        </w:rPr>
        <w:t xml:space="preserve"> </w:t>
      </w:r>
      <w:r>
        <w:rPr>
          <w:b/>
          <w:bCs/>
          <w:i/>
          <w:iCs/>
          <w:rtl/>
        </w:rPr>
        <w:t xml:space="preserve">בזכויות שאינן ממשיות, כגון נכסי קריירה. </w:t>
      </w:r>
    </w:p>
    <w:p w:rsidR="0013254E" w:rsidRDefault="0013254E" w:rsidP="0013254E">
      <w:pPr>
        <w:spacing w:line="360" w:lineRule="auto"/>
        <w:ind w:left="2835" w:hanging="284"/>
        <w:rPr>
          <w:b/>
          <w:bCs/>
          <w:i/>
          <w:iCs/>
          <w:rtl/>
        </w:rPr>
      </w:pPr>
      <w:r>
        <w:rPr>
          <w:b/>
          <w:bCs/>
          <w:i/>
          <w:iCs/>
          <w:rtl/>
        </w:rPr>
        <w:t>-  </w:t>
      </w:r>
      <w:r>
        <w:rPr>
          <w:b/>
          <w:bCs/>
          <w:i/>
          <w:iCs/>
          <w:rtl/>
        </w:rPr>
        <w:tab/>
        <w:t xml:space="preserve">הקלות בדיני הראיות והפרוצדורה. </w:t>
      </w:r>
    </w:p>
    <w:p w:rsidR="0013254E" w:rsidRDefault="0013254E" w:rsidP="0013254E">
      <w:pPr>
        <w:spacing w:line="360" w:lineRule="auto"/>
        <w:ind w:left="2835" w:hanging="284"/>
        <w:rPr>
          <w:b/>
          <w:bCs/>
          <w:i/>
          <w:iCs/>
          <w:rtl/>
        </w:rPr>
      </w:pPr>
      <w:r>
        <w:rPr>
          <w:b/>
          <w:bCs/>
          <w:i/>
          <w:iCs/>
          <w:rtl/>
        </w:rPr>
        <w:t>- </w:t>
      </w:r>
      <w:r>
        <w:rPr>
          <w:b/>
          <w:bCs/>
          <w:i/>
          <w:iCs/>
          <w:rtl/>
        </w:rPr>
        <w:tab/>
        <w:t>הזכות לטיפול רגשי מאת גורמי הקהילה, בית המשפט וכו'.</w:t>
      </w:r>
    </w:p>
    <w:p w:rsidR="0013254E" w:rsidRDefault="0013254E" w:rsidP="0013254E">
      <w:pPr>
        <w:spacing w:line="360" w:lineRule="auto"/>
        <w:ind w:left="567" w:hanging="567"/>
        <w:rPr>
          <w:i/>
          <w:iCs/>
          <w:rtl/>
        </w:rPr>
      </w:pPr>
      <w:r>
        <w:rPr>
          <w:i/>
          <w:iCs/>
          <w:rtl/>
        </w:rPr>
        <w:t xml:space="preserve"> </w:t>
      </w:r>
    </w:p>
    <w:p w:rsidR="0013254E" w:rsidRDefault="0013254E" w:rsidP="0013254E">
      <w:pPr>
        <w:pStyle w:val="af1"/>
        <w:numPr>
          <w:ilvl w:val="0"/>
          <w:numId w:val="1"/>
        </w:numPr>
        <w:spacing w:line="360" w:lineRule="auto"/>
        <w:ind w:left="567" w:hanging="567"/>
        <w:jc w:val="both"/>
        <w:rPr>
          <w:rFonts w:ascii="Arial" w:hAnsi="Arial"/>
          <w:noProof w:val="0"/>
        </w:rPr>
      </w:pPr>
      <w:r w:rsidRPr="0011782B">
        <w:rPr>
          <w:rtl/>
        </w:rPr>
        <w:t>על זכויות אלו מוסיף בן זוגו של הצד לחוזה, כל עוד רצונו בכך, חיבה, מגע גופני, רעות, קרבה, אהבה, שיתוף פעולה בפיתוח מעטפת משפחתית, נשיאה משותפת בנטל גידול הילדים ופרנסה - והדברים ידועים.</w:t>
      </w:r>
    </w:p>
    <w:p w:rsidR="0013254E" w:rsidRDefault="0013254E" w:rsidP="0013254E">
      <w:pPr>
        <w:pStyle w:val="af1"/>
        <w:spacing w:line="360" w:lineRule="auto"/>
        <w:ind w:left="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sidRPr="0011782B">
        <w:rPr>
          <w:rtl/>
        </w:rPr>
        <w:t xml:space="preserve">החוזה המשפחתי כולל בתוכו פרקים שונים, חלקם כתובים כנובע מטיב ההתקשרות (למשל כתובה או חוזה הנישואין שבשריעה), חלקם כתובים מכח רצון הצדדים (הסכם יחסי ממון לדוגמא), חלקם, כפי שהדגמתי לעיל, כתובים בספר החוקים או בדין האישי, חלקם מובנים מאליהם כך שאינם צריכים כתב, וחלקם נלמדים או נעשים ספציפית למשפחה ספציפית, לפי נסיבות החיים. </w:t>
      </w:r>
    </w:p>
    <w:p w:rsidR="0013254E" w:rsidRPr="0011782B" w:rsidRDefault="0013254E" w:rsidP="0013254E">
      <w:pPr>
        <w:pStyle w:val="af1"/>
        <w:rPr>
          <w:rFonts w:ascii="Arial" w:hAnsi="Arial"/>
          <w:noProof w:val="0"/>
          <w:rtl/>
        </w:rPr>
      </w:pPr>
    </w:p>
    <w:p w:rsidR="0013254E" w:rsidRPr="0011782B" w:rsidRDefault="0013254E" w:rsidP="0013254E">
      <w:pPr>
        <w:pStyle w:val="af1"/>
        <w:numPr>
          <w:ilvl w:val="0"/>
          <w:numId w:val="1"/>
        </w:numPr>
        <w:spacing w:line="360" w:lineRule="auto"/>
        <w:ind w:left="567" w:hanging="567"/>
        <w:jc w:val="both"/>
        <w:rPr>
          <w:rFonts w:ascii="Arial" w:hAnsi="Arial"/>
          <w:noProof w:val="0"/>
          <w:rtl/>
        </w:rPr>
      </w:pPr>
      <w:r w:rsidRPr="0011782B">
        <w:rPr>
          <w:rtl/>
        </w:rPr>
        <w:t xml:space="preserve">ואולם, ובשל מיוחדותו של החוזה המשפחתי, חלים עליו, לטעמי, בגדר מובן מאליו, גם שני כללי יסוד שאינם דורשים כתב: </w:t>
      </w:r>
    </w:p>
    <w:p w:rsidR="0013254E" w:rsidRDefault="0013254E" w:rsidP="0013254E">
      <w:pPr>
        <w:spacing w:line="360" w:lineRule="auto"/>
        <w:ind w:left="567" w:hanging="567"/>
        <w:jc w:val="both"/>
        <w:rPr>
          <w:b/>
          <w:bCs/>
          <w:i/>
          <w:iCs/>
          <w:rtl/>
        </w:rPr>
      </w:pPr>
    </w:p>
    <w:p w:rsidR="0013254E" w:rsidRDefault="0013254E" w:rsidP="0013254E">
      <w:pPr>
        <w:pStyle w:val="af1"/>
        <w:numPr>
          <w:ilvl w:val="0"/>
          <w:numId w:val="10"/>
        </w:numPr>
        <w:spacing w:line="360" w:lineRule="auto"/>
        <w:jc w:val="both"/>
      </w:pPr>
      <w:r w:rsidRPr="0011782B">
        <w:rPr>
          <w:rtl/>
        </w:rPr>
        <w:t>חלות סעיפים 12, 39 ו- 61 לחוק החוזים (חלק כללי) (וראה בע"מ 5939/04, שם, וכן ע"א 700/81, מיכל פז נ' אליהו פז, פ"ד ל"ח (2) 736), והרי לא תמצא כמעט חוזה ובו נמצא צורך להוסיף בכתב ובמפורש כי חלים עליו תום לב ודרך מקובלת.</w:t>
      </w:r>
    </w:p>
    <w:p w:rsidR="0013254E" w:rsidRDefault="0013254E" w:rsidP="0013254E">
      <w:pPr>
        <w:pStyle w:val="af1"/>
        <w:spacing w:line="360" w:lineRule="auto"/>
        <w:ind w:left="1143"/>
        <w:jc w:val="both"/>
        <w:rPr>
          <w:rtl/>
        </w:rPr>
      </w:pPr>
    </w:p>
    <w:p w:rsidR="0013254E" w:rsidRDefault="0013254E" w:rsidP="0013254E">
      <w:pPr>
        <w:pStyle w:val="af1"/>
        <w:numPr>
          <w:ilvl w:val="0"/>
          <w:numId w:val="10"/>
        </w:numPr>
        <w:spacing w:line="360" w:lineRule="auto"/>
        <w:jc w:val="both"/>
      </w:pPr>
      <w:r w:rsidRPr="0011782B">
        <w:rPr>
          <w:rtl/>
        </w:rPr>
        <w:t xml:space="preserve">חיוב הצדדים בדרגה נוספת שהיא מעל עקרון תום הלב הרגיל, אותה מדרגה שכונתה על ידי כב' השופט רובינשטיין בשם "הגינות" (וראה בע"מ 5939/04, שם). </w:t>
      </w:r>
    </w:p>
    <w:p w:rsidR="0013254E" w:rsidRDefault="0013254E" w:rsidP="0013254E">
      <w:pPr>
        <w:pStyle w:val="af1"/>
        <w:rPr>
          <w:rtl/>
        </w:rPr>
      </w:pPr>
    </w:p>
    <w:p w:rsidR="0013254E" w:rsidRDefault="0013254E" w:rsidP="0013254E">
      <w:pPr>
        <w:pStyle w:val="af1"/>
        <w:numPr>
          <w:ilvl w:val="0"/>
          <w:numId w:val="1"/>
        </w:numPr>
        <w:spacing w:line="360" w:lineRule="auto"/>
        <w:jc w:val="both"/>
      </w:pPr>
      <w:r w:rsidRPr="0011782B">
        <w:rPr>
          <w:rtl/>
        </w:rPr>
        <w:lastRenderedPageBreak/>
        <w:t xml:space="preserve">כשם שהדין מבחין למשל בין רשלנות ופזיזות, כך יש להבדיל תום לב מהגינות. הללו הם מושגים משלימים ולא בהכרח זהים. </w:t>
      </w:r>
    </w:p>
    <w:p w:rsidR="0013254E" w:rsidRDefault="0013254E" w:rsidP="0013254E">
      <w:pPr>
        <w:pStyle w:val="af1"/>
        <w:spacing w:line="360" w:lineRule="auto"/>
        <w:ind w:left="360"/>
        <w:jc w:val="both"/>
      </w:pPr>
    </w:p>
    <w:p w:rsidR="0013254E" w:rsidRPr="004F5B85" w:rsidRDefault="0013254E" w:rsidP="0013254E">
      <w:pPr>
        <w:pStyle w:val="af1"/>
        <w:numPr>
          <w:ilvl w:val="0"/>
          <w:numId w:val="1"/>
        </w:numPr>
        <w:spacing w:line="360" w:lineRule="auto"/>
        <w:jc w:val="both"/>
      </w:pPr>
      <w:r w:rsidRPr="004F5B85">
        <w:rPr>
          <w:rtl/>
        </w:rPr>
        <w:t xml:space="preserve">הגיונם של הדברים הוא בכך שבן זוג זוכה אגב היחסים לגילוי מידע מופלג, הוא מצוי בצנעת הפרט של הזולת הוא זוכה לאמונו ולא תמיד יכול הוא "להשתחרר" (כשהוא חפץ בכך) מנוכחות בן זוגו בחייו, גם לאחר פירוד. </w:t>
      </w:r>
    </w:p>
    <w:p w:rsidR="0013254E" w:rsidRPr="004F5B85" w:rsidRDefault="0013254E" w:rsidP="0013254E">
      <w:pPr>
        <w:pStyle w:val="af1"/>
        <w:rPr>
          <w:rtl/>
        </w:rPr>
      </w:pPr>
    </w:p>
    <w:p w:rsidR="0013254E" w:rsidRPr="004F5B85" w:rsidRDefault="0013254E" w:rsidP="0013254E">
      <w:pPr>
        <w:pStyle w:val="af1"/>
        <w:numPr>
          <w:ilvl w:val="0"/>
          <w:numId w:val="1"/>
        </w:numPr>
        <w:spacing w:line="360" w:lineRule="auto"/>
        <w:jc w:val="both"/>
      </w:pPr>
      <w:r w:rsidRPr="004F5B85">
        <w:rPr>
          <w:rtl/>
        </w:rPr>
        <w:t xml:space="preserve">המשכו של עקרון תום הלב וההגינות נמצא בפרק נוסף בחוזה המשפחתי, הקובע כי צד לחוזה שכזה יכול לחוב ברשלנות או בעילה של הפרת חוזה, אם לא ינהג זהירות ראויה בשותפו לחוזה, וזאת גם לענין סירובו ליתן או לקבל את הגט. מכאן שיכול צד "לחוזה המשפחתי" להידרש לפצות את האחר עקב התנהלות לא הוגנת, וזאת לא רק לעניין הסכמתו או אי הסכמתו באשר לסיומם הפורמאלי של נישואין. </w:t>
      </w:r>
    </w:p>
    <w:p w:rsidR="0013254E" w:rsidRPr="004F5B85" w:rsidRDefault="0013254E" w:rsidP="0013254E">
      <w:pPr>
        <w:pStyle w:val="af1"/>
        <w:rPr>
          <w:rtl/>
        </w:rPr>
      </w:pPr>
    </w:p>
    <w:p w:rsidR="0013254E" w:rsidRPr="004F5B85" w:rsidRDefault="0013254E" w:rsidP="0013254E">
      <w:pPr>
        <w:pStyle w:val="af1"/>
        <w:numPr>
          <w:ilvl w:val="0"/>
          <w:numId w:val="1"/>
        </w:numPr>
        <w:spacing w:line="360" w:lineRule="auto"/>
        <w:jc w:val="both"/>
      </w:pPr>
      <w:r w:rsidRPr="004F5B85">
        <w:rPr>
          <w:rtl/>
        </w:rPr>
        <w:t>בחוזה המשפחתי מובנה איסור מכללא לעשות שימוש לרעה גם בזכויות דיוניות הניתנות לבן הזוג (ראה בר"ע 305/80, פד לה(3) 449), אך צידו האחר של המטבע טמון בכלל ולפיו זכות הקיימת בדין, לבעל דין, כגון דרישה לפירוק שיתוף במקרקעין למשל, יכול ולא תזכה את הנפגע מסירוב, בפיצוי, שכן יש לראות בסרבן צד הוגן ותם לב בנסיבות העניין (ראה ע"א 1915/91 אסתר יעקובי נ' עזרא יעקובי, מט (3) 529) כל מקרה ונסיבותיו.</w:t>
      </w:r>
    </w:p>
    <w:p w:rsidR="0013254E" w:rsidRPr="004F5B85" w:rsidRDefault="0013254E" w:rsidP="0013254E">
      <w:pPr>
        <w:pStyle w:val="af1"/>
        <w:rPr>
          <w:rtl/>
        </w:rPr>
      </w:pPr>
    </w:p>
    <w:p w:rsidR="0013254E" w:rsidRPr="004F5B85" w:rsidRDefault="0013254E" w:rsidP="0013254E">
      <w:pPr>
        <w:pStyle w:val="af1"/>
        <w:numPr>
          <w:ilvl w:val="0"/>
          <w:numId w:val="1"/>
        </w:numPr>
        <w:spacing w:line="360" w:lineRule="auto"/>
        <w:jc w:val="both"/>
      </w:pPr>
      <w:r w:rsidRPr="004F5B85">
        <w:rPr>
          <w:rtl/>
        </w:rPr>
        <w:t>הפועל היוצא מדברי לעיל הוא שכשם שהחוזה המשפחתי מכיל פרקים לענין משמורת, סדרי ראיה, חלוקת רכוש ואחזקתו, זכויות למזונות וכו', הוא מכיל גם "עקרון על" אשר התפתח, לפחות מאז חוקק חוק החוזים (חלק כללי), והשולל מכל וכל תכסיסנות וגישה סחטנית אגב נתינת וקבלת זכויות משפטיות.</w:t>
      </w:r>
    </w:p>
    <w:p w:rsidR="0013254E" w:rsidRPr="007812A9" w:rsidRDefault="0013254E" w:rsidP="0013254E">
      <w:pPr>
        <w:spacing w:line="360" w:lineRule="auto"/>
        <w:rPr>
          <w:b/>
          <w:bCs/>
          <w:i/>
          <w:iCs/>
          <w:rtl/>
        </w:rPr>
      </w:pPr>
      <w:r>
        <w:rPr>
          <w:b/>
          <w:bCs/>
          <w:i/>
          <w:iCs/>
          <w:rtl/>
        </w:rPr>
        <w:t> </w:t>
      </w:r>
    </w:p>
    <w:p w:rsidR="0013254E" w:rsidRDefault="0013254E" w:rsidP="0013254E">
      <w:pPr>
        <w:pStyle w:val="af1"/>
        <w:numPr>
          <w:ilvl w:val="0"/>
          <w:numId w:val="1"/>
        </w:numPr>
        <w:spacing w:line="360" w:lineRule="auto"/>
        <w:ind w:left="567" w:hanging="567"/>
        <w:rPr>
          <w:u w:val="single"/>
        </w:rPr>
      </w:pPr>
      <w:r w:rsidRPr="004A3A39">
        <w:rPr>
          <w:rtl/>
        </w:rPr>
        <w:t>בהלכת כ.ש</w:t>
      </w:r>
      <w:r>
        <w:rPr>
          <w:rFonts w:hint="cs"/>
          <w:rtl/>
        </w:rPr>
        <w:t>.</w:t>
      </w:r>
      <w:r w:rsidRPr="004A3A39">
        <w:rPr>
          <w:rtl/>
        </w:rPr>
        <w:t xml:space="preserve"> אליה הפניתי לעיל, הקל עלי חברי, כב' השופט פלקס, בסוברו </w:t>
      </w:r>
      <w:r>
        <w:rPr>
          <w:rFonts w:hint="cs"/>
          <w:rtl/>
        </w:rPr>
        <w:t xml:space="preserve">למשל </w:t>
      </w:r>
      <w:r w:rsidRPr="004A3A39">
        <w:rPr>
          <w:rtl/>
        </w:rPr>
        <w:t>כי פסיקת פיצוי עבור סרבנות גט אפשרית גם אגב שימוש בדיני חוזים.</w:t>
      </w:r>
    </w:p>
    <w:p w:rsidR="0013254E" w:rsidRDefault="0013254E" w:rsidP="0013254E">
      <w:pPr>
        <w:pStyle w:val="af1"/>
        <w:spacing w:line="360" w:lineRule="auto"/>
        <w:ind w:left="567" w:hanging="567"/>
        <w:rPr>
          <w:u w:val="single"/>
        </w:rPr>
      </w:pPr>
    </w:p>
    <w:p w:rsidR="0013254E" w:rsidRPr="004A3A39" w:rsidRDefault="0013254E" w:rsidP="0013254E">
      <w:pPr>
        <w:pStyle w:val="af1"/>
        <w:numPr>
          <w:ilvl w:val="0"/>
          <w:numId w:val="1"/>
        </w:numPr>
        <w:spacing w:line="360" w:lineRule="auto"/>
        <w:ind w:left="567" w:hanging="567"/>
        <w:rPr>
          <w:u w:val="single"/>
          <w:rtl/>
        </w:rPr>
      </w:pPr>
      <w:r w:rsidRPr="004A3A39">
        <w:rPr>
          <w:rtl/>
        </w:rPr>
        <w:t xml:space="preserve">כב' השופט פלקס ציטט משתי הלכות, ואין לי אלא לחזור אחריו, עת בסעיפים 29 ו- 30 לפסק דינו, שם אמר: </w:t>
      </w:r>
    </w:p>
    <w:p w:rsidR="0013254E" w:rsidRDefault="0013254E" w:rsidP="0013254E">
      <w:pPr>
        <w:spacing w:line="360" w:lineRule="auto"/>
        <w:ind w:left="567" w:hanging="567"/>
        <w:jc w:val="both"/>
        <w:rPr>
          <w:b/>
          <w:bCs/>
          <w:i/>
          <w:iCs/>
          <w:rtl/>
        </w:rPr>
      </w:pPr>
    </w:p>
    <w:p w:rsidR="0013254E" w:rsidRPr="004A3A39" w:rsidRDefault="0013254E" w:rsidP="0013254E">
      <w:pPr>
        <w:spacing w:line="360" w:lineRule="auto"/>
        <w:ind w:left="1440"/>
        <w:jc w:val="both"/>
        <w:rPr>
          <w:b/>
          <w:bCs/>
          <w:i/>
          <w:iCs/>
          <w:rtl/>
        </w:rPr>
      </w:pPr>
      <w:r w:rsidRPr="004A3A39">
        <w:rPr>
          <w:b/>
          <w:bCs/>
          <w:i/>
          <w:iCs/>
          <w:rtl/>
        </w:rPr>
        <w:t xml:space="preserve">"לטעמי, ניתן להגיע לאותה התוצאה אף תוך שימוש בדיני החוזים. אבאר. פסיקת בתי המשפט הכירה באפשרות לתבוע פיצויים מכוח הפרת חובות חוזיות החלות במסגרת היחסים המשפחתיים. זאת היות וקשר הנישואין נתפס כחוזה בין צדדים. </w:t>
      </w:r>
      <w:r w:rsidRPr="003910EA">
        <w:rPr>
          <w:b/>
          <w:bCs/>
          <w:i/>
          <w:iCs/>
          <w:rtl/>
        </w:rPr>
        <w:t>כך למשל ב</w:t>
      </w:r>
      <w:hyperlink r:id="rId35" w:history="1">
        <w:r w:rsidRPr="003910EA">
          <w:rPr>
            <w:rStyle w:val="Hyperlink"/>
            <w:b/>
            <w:bCs/>
            <w:i/>
            <w:iCs/>
            <w:color w:val="auto"/>
            <w:u w:val="none"/>
            <w:rtl/>
          </w:rPr>
          <w:t>ע"א 5258/98</w:t>
        </w:r>
      </w:hyperlink>
      <w:r w:rsidRPr="003910EA">
        <w:rPr>
          <w:b/>
          <w:bCs/>
          <w:i/>
          <w:iCs/>
          <w:rtl/>
        </w:rPr>
        <w:t xml:space="preserve"> פלונית נ' פלוני, (פורסם במאגרים) [פורסם בנבו] קבע כב' </w:t>
      </w:r>
      <w:r w:rsidRPr="004A3A39">
        <w:rPr>
          <w:b/>
          <w:bCs/>
          <w:i/>
          <w:iCs/>
          <w:rtl/>
        </w:rPr>
        <w:t>הנשיא ברק:</w:t>
      </w:r>
    </w:p>
    <w:p w:rsidR="0013254E" w:rsidRPr="004A3A39" w:rsidRDefault="0013254E" w:rsidP="0013254E">
      <w:pPr>
        <w:spacing w:line="360" w:lineRule="auto"/>
        <w:ind w:left="567" w:hanging="567"/>
        <w:jc w:val="both"/>
        <w:rPr>
          <w:b/>
          <w:bCs/>
          <w:i/>
          <w:iCs/>
          <w:sz w:val="16"/>
          <w:szCs w:val="16"/>
          <w:rtl/>
        </w:rPr>
      </w:pPr>
    </w:p>
    <w:p w:rsidR="0013254E" w:rsidRPr="004A3A39" w:rsidRDefault="0013254E" w:rsidP="0013254E">
      <w:pPr>
        <w:spacing w:line="360" w:lineRule="auto"/>
        <w:ind w:left="2160"/>
        <w:jc w:val="both"/>
        <w:rPr>
          <w:b/>
          <w:bCs/>
          <w:i/>
          <w:iCs/>
          <w:rtl/>
        </w:rPr>
      </w:pPr>
      <w:r w:rsidRPr="004A3A39">
        <w:rPr>
          <w:b/>
          <w:bCs/>
          <w:i/>
          <w:iCs/>
          <w:rtl/>
        </w:rPr>
        <w:t>"דיני החוזים בישראל אינם נעצרים על סף הבית המשפחתי. המשפט אינו שולל תוקף משפטי מחוזים (אף חוזים משתמעים) המבוססים על אדנים רגשיים והנוצרים בנסיבות אינטימיות בין-אישיות".</w:t>
      </w:r>
    </w:p>
    <w:p w:rsidR="0013254E" w:rsidRDefault="0013254E" w:rsidP="0013254E">
      <w:pPr>
        <w:spacing w:line="360" w:lineRule="auto"/>
        <w:ind w:left="567" w:hanging="567"/>
        <w:rPr>
          <w:b/>
          <w:bCs/>
          <w:i/>
          <w:iCs/>
          <w:rtl/>
        </w:rPr>
      </w:pPr>
    </w:p>
    <w:p w:rsidR="0013254E" w:rsidRPr="003910EA" w:rsidRDefault="0013254E" w:rsidP="0013254E">
      <w:pPr>
        <w:spacing w:line="360" w:lineRule="auto"/>
        <w:ind w:left="1440"/>
        <w:rPr>
          <w:b/>
          <w:bCs/>
          <w:i/>
          <w:iCs/>
          <w:rtl/>
        </w:rPr>
      </w:pPr>
      <w:r w:rsidRPr="003910EA">
        <w:rPr>
          <w:b/>
          <w:bCs/>
          <w:i/>
          <w:iCs/>
          <w:rtl/>
        </w:rPr>
        <w:t>ראו אף פסק דינה של כב' השופטת מימון ב</w:t>
      </w:r>
      <w:hyperlink r:id="rId36" w:history="1">
        <w:r w:rsidRPr="003910EA">
          <w:rPr>
            <w:rStyle w:val="Hyperlink"/>
            <w:b/>
            <w:bCs/>
            <w:i/>
            <w:iCs/>
            <w:color w:val="auto"/>
            <w:u w:val="none"/>
            <w:rtl/>
          </w:rPr>
          <w:t>תמ"ש (י-ם) 24760/08</w:t>
        </w:r>
      </w:hyperlink>
      <w:r w:rsidRPr="003910EA">
        <w:rPr>
          <w:b/>
          <w:bCs/>
          <w:i/>
          <w:iCs/>
          <w:rtl/>
        </w:rPr>
        <w:t xml:space="preserve"> ש. ב. ר. נ' ר. ר. (פורסם במאגרים) [פורסם בנבו] בו קבעה:</w:t>
      </w:r>
    </w:p>
    <w:p w:rsidR="0013254E" w:rsidRPr="003910EA" w:rsidRDefault="0013254E" w:rsidP="0013254E">
      <w:pPr>
        <w:spacing w:line="360" w:lineRule="auto"/>
        <w:ind w:left="567" w:hanging="567"/>
        <w:jc w:val="both"/>
        <w:rPr>
          <w:b/>
          <w:bCs/>
          <w:i/>
          <w:iCs/>
          <w:rtl/>
        </w:rPr>
      </w:pPr>
    </w:p>
    <w:p w:rsidR="0013254E" w:rsidRDefault="0013254E" w:rsidP="0013254E">
      <w:pPr>
        <w:spacing w:line="360" w:lineRule="auto"/>
        <w:ind w:left="2160"/>
        <w:jc w:val="both"/>
        <w:rPr>
          <w:b/>
          <w:bCs/>
          <w:i/>
          <w:iCs/>
          <w:rtl/>
        </w:rPr>
      </w:pPr>
      <w:r w:rsidRPr="003910EA">
        <w:rPr>
          <w:b/>
          <w:bCs/>
          <w:i/>
          <w:iCs/>
          <w:rtl/>
        </w:rPr>
        <w:t>"כאשר בני זוג מחליטים להתחתן הם מטילים "על עצמם מערכת של זכויות וחובות ... בעשייתם פעולה משפטית האוצרת בחובה מערכת של חובות וזכויות, סוככת עליהם מטריית חובת תום הלב ופעולה בדרך מקובלת הקבועות בסעיף 61(ב) ל</w:t>
      </w:r>
      <w:hyperlink r:id="rId37" w:history="1">
        <w:r w:rsidRPr="003910EA">
          <w:rPr>
            <w:rStyle w:val="Hyperlink"/>
            <w:b/>
            <w:bCs/>
            <w:i/>
            <w:iCs/>
            <w:color w:val="auto"/>
            <w:u w:val="none"/>
            <w:rtl/>
          </w:rPr>
          <w:t>חוק החוזים (חלק כללי)</w:t>
        </w:r>
      </w:hyperlink>
      <w:r w:rsidRPr="003910EA">
        <w:rPr>
          <w:b/>
          <w:bCs/>
          <w:i/>
          <w:iCs/>
          <w:rtl/>
        </w:rPr>
        <w:t xml:space="preserve"> ... כך או כך, הן אם נקודת המוצא הינה כי נישואין מהווים חוזה והן אם נקודת המוצא היא </w:t>
      </w:r>
      <w:r>
        <w:rPr>
          <w:b/>
          <w:bCs/>
          <w:i/>
          <w:iCs/>
          <w:rtl/>
        </w:rPr>
        <w:t>כי נישואין הינם התחייבות אשר לוקח על עצמו הבעל, או גם האישה, מכל מקום תחול חובת תום הלב ... זאת אף ביתר שאת נוכח כך שבין בעל ואישה יחסים מיוחדים, יחסי קרבה, יחסים רגישים, כאשר על כל אחד מבני הזוג מוטלת חובה לנהוג כלפי האחר בכבוד, בהגינות ובהתנהגות המאפשרת לבן הזוג ניהול של אורח חיים תקין וסביר".</w:t>
      </w:r>
    </w:p>
    <w:p w:rsidR="0013254E" w:rsidRDefault="0013254E" w:rsidP="0013254E">
      <w:pPr>
        <w:spacing w:line="360" w:lineRule="auto"/>
        <w:ind w:left="567" w:hanging="567"/>
        <w:rPr>
          <w:b/>
          <w:bCs/>
          <w:i/>
          <w:iCs/>
          <w:rtl/>
        </w:rPr>
      </w:pPr>
    </w:p>
    <w:p w:rsidR="0013254E" w:rsidRPr="004A3A39" w:rsidRDefault="0013254E" w:rsidP="0013254E">
      <w:pPr>
        <w:pStyle w:val="af1"/>
        <w:numPr>
          <w:ilvl w:val="0"/>
          <w:numId w:val="1"/>
        </w:numPr>
        <w:spacing w:line="360" w:lineRule="auto"/>
        <w:ind w:left="567" w:hanging="567"/>
        <w:rPr>
          <w:rtl/>
        </w:rPr>
      </w:pPr>
      <w:r w:rsidRPr="004A3A39">
        <w:rPr>
          <w:rtl/>
        </w:rPr>
        <w:t>ומהו אותו "יתר שאת" ו"יחסים מיוחדים" להם כיוונה כב' סגנית הנשיאה השופטת מימון בפרשת ב.ר. אם לא אותה חובה להגינות, לזהירות מוגברת וכו'?"</w:t>
      </w:r>
    </w:p>
    <w:p w:rsidR="0013254E" w:rsidRDefault="0013254E" w:rsidP="0013254E">
      <w:pPr>
        <w:spacing w:line="360" w:lineRule="auto"/>
        <w:ind w:left="567" w:hanging="567"/>
        <w:jc w:val="both"/>
        <w:rPr>
          <w:rFonts w:ascii="Arial" w:hAnsi="Arial"/>
          <w:b/>
          <w:bCs/>
          <w:i/>
          <w:iCs/>
          <w:noProof w:val="0"/>
          <w:rtl/>
        </w:rPr>
      </w:pPr>
    </w:p>
    <w:p w:rsidR="0013254E" w:rsidRDefault="0013254E" w:rsidP="0013254E">
      <w:pPr>
        <w:pStyle w:val="af1"/>
        <w:numPr>
          <w:ilvl w:val="0"/>
          <w:numId w:val="1"/>
        </w:numPr>
        <w:spacing w:line="360" w:lineRule="auto"/>
        <w:ind w:left="567" w:hanging="567"/>
        <w:jc w:val="both"/>
        <w:rPr>
          <w:rFonts w:ascii="Arial" w:hAnsi="Arial"/>
          <w:noProof w:val="0"/>
          <w:rtl/>
        </w:rPr>
      </w:pPr>
      <w:r>
        <w:rPr>
          <w:rFonts w:ascii="Arial" w:hAnsi="Arial"/>
          <w:noProof w:val="0"/>
          <w:rtl/>
        </w:rPr>
        <w:t xml:space="preserve">ועוד כתבתי </w:t>
      </w:r>
      <w:r>
        <w:rPr>
          <w:rFonts w:ascii="Arial" w:hAnsi="Arial" w:hint="cs"/>
          <w:noProof w:val="0"/>
          <w:rtl/>
        </w:rPr>
        <w:t>כבר בעבר, כך</w:t>
      </w:r>
      <w:r>
        <w:rPr>
          <w:rFonts w:ascii="Arial" w:hAnsi="Arial"/>
          <w:noProof w:val="0"/>
          <w:rtl/>
        </w:rPr>
        <w:t xml:space="preserve">: </w:t>
      </w:r>
    </w:p>
    <w:p w:rsidR="0013254E" w:rsidRPr="003B6D34" w:rsidRDefault="0013254E" w:rsidP="0013254E">
      <w:pPr>
        <w:spacing w:line="360" w:lineRule="auto"/>
        <w:ind w:left="567" w:hanging="567"/>
        <w:jc w:val="both"/>
        <w:rPr>
          <w:rFonts w:ascii="Arial" w:hAnsi="Arial"/>
          <w:b/>
          <w:bCs/>
          <w:i/>
          <w:iCs/>
          <w:noProof w:val="0"/>
          <w:sz w:val="6"/>
          <w:szCs w:val="6"/>
          <w:rtl/>
        </w:rPr>
      </w:pPr>
    </w:p>
    <w:p w:rsidR="0013254E" w:rsidRDefault="0013254E" w:rsidP="0013254E">
      <w:pPr>
        <w:spacing w:line="360" w:lineRule="auto"/>
        <w:ind w:left="1287" w:firstLine="153"/>
        <w:jc w:val="both"/>
        <w:rPr>
          <w:rFonts w:ascii="Arial" w:hAnsi="Arial"/>
          <w:b/>
          <w:bCs/>
          <w:i/>
          <w:iCs/>
          <w:noProof w:val="0"/>
          <w:rtl/>
        </w:rPr>
      </w:pPr>
      <w:r>
        <w:rPr>
          <w:rFonts w:ascii="Arial" w:hAnsi="Arial"/>
          <w:b/>
          <w:bCs/>
          <w:i/>
          <w:iCs/>
          <w:noProof w:val="0"/>
          <w:rtl/>
        </w:rPr>
        <w:t>"</w:t>
      </w:r>
    </w:p>
    <w:p w:rsidR="0013254E" w:rsidRDefault="0013254E" w:rsidP="0013254E">
      <w:pPr>
        <w:spacing w:line="360" w:lineRule="auto"/>
        <w:ind w:left="2160" w:hanging="720"/>
        <w:jc w:val="both"/>
        <w:rPr>
          <w:rFonts w:ascii="David" w:hAnsi="David"/>
          <w:b/>
          <w:bCs/>
          <w:i/>
          <w:iCs/>
          <w:sz w:val="26"/>
          <w:szCs w:val="26"/>
          <w:rtl/>
        </w:rPr>
      </w:pPr>
      <w:r>
        <w:rPr>
          <w:rFonts w:ascii="David" w:hAnsi="David"/>
          <w:b/>
          <w:bCs/>
          <w:i/>
          <w:iCs/>
          <w:sz w:val="26"/>
          <w:szCs w:val="26"/>
          <w:rtl/>
        </w:rPr>
        <w:t>74.      </w:t>
      </w:r>
      <w:r>
        <w:rPr>
          <w:rFonts w:ascii="David" w:hAnsi="David"/>
          <w:b/>
          <w:bCs/>
          <w:i/>
          <w:iCs/>
          <w:sz w:val="26"/>
          <w:szCs w:val="26"/>
          <w:rtl/>
        </w:rPr>
        <w:tab/>
        <w:t xml:space="preserve">התנהגותו של צד לחוזה המשפחתי תפורש איפה לאור לשונו של סעיף 35 לפקודת הנזיקין, ובכלל זאת חובת זהירות שיש לכל בעל דין כלפי חברו, למנוע הימנו נזק מיותר. </w:t>
      </w:r>
    </w:p>
    <w:p w:rsidR="0013254E" w:rsidRDefault="0013254E" w:rsidP="0013254E">
      <w:pPr>
        <w:spacing w:line="360" w:lineRule="auto"/>
        <w:ind w:left="567" w:hanging="567"/>
        <w:jc w:val="both"/>
        <w:rPr>
          <w:rFonts w:ascii="David" w:hAnsi="David"/>
          <w:b/>
          <w:bCs/>
          <w:i/>
          <w:iCs/>
          <w:sz w:val="26"/>
          <w:szCs w:val="26"/>
          <w:rtl/>
        </w:rPr>
      </w:pPr>
    </w:p>
    <w:p w:rsidR="0013254E" w:rsidRDefault="0013254E" w:rsidP="0013254E">
      <w:pPr>
        <w:spacing w:line="360" w:lineRule="auto"/>
        <w:ind w:left="2160" w:hanging="720"/>
        <w:jc w:val="both"/>
        <w:rPr>
          <w:rFonts w:ascii="David" w:hAnsi="David"/>
          <w:b/>
          <w:bCs/>
          <w:i/>
          <w:iCs/>
          <w:sz w:val="26"/>
          <w:szCs w:val="26"/>
          <w:rtl/>
        </w:rPr>
      </w:pPr>
      <w:r>
        <w:rPr>
          <w:rFonts w:ascii="David" w:hAnsi="David"/>
          <w:b/>
          <w:bCs/>
          <w:i/>
          <w:iCs/>
          <w:sz w:val="26"/>
          <w:szCs w:val="26"/>
          <w:rtl/>
        </w:rPr>
        <w:t>75.   </w:t>
      </w:r>
      <w:r>
        <w:rPr>
          <w:rFonts w:ascii="David" w:hAnsi="David"/>
          <w:b/>
          <w:bCs/>
          <w:i/>
          <w:iCs/>
          <w:sz w:val="26"/>
          <w:szCs w:val="26"/>
          <w:rtl/>
        </w:rPr>
        <w:tab/>
        <w:t>בשלהי סקירתי זו, אעיר כי דומני שרוח מקצתם יפה, בשינוייםהמחויבים, גם לעניין דרך הפעלת הליכי הוצאה לפועל, או חמיקה מהם, לעניין דרישת וקבלת דמי מזונות, לעניין מחלוקות על משמורת וסדרי ראיה, גם לעניין מתן הסכמה לפרוק השיתוף ברכוש, גם לניהול אין קץ ללא צורך של הליכים משפטיים המגעת כדי נגישה (וראה ע"א 243/83 עיריית ירושלים נ' אלי גורדון, לט (1) 113) ועוד.</w:t>
      </w:r>
    </w:p>
    <w:p w:rsidR="0013254E" w:rsidRDefault="0013254E" w:rsidP="0013254E">
      <w:pPr>
        <w:spacing w:line="360" w:lineRule="auto"/>
        <w:ind w:left="567" w:hanging="567"/>
        <w:jc w:val="both"/>
        <w:rPr>
          <w:rFonts w:ascii="David" w:hAnsi="David"/>
          <w:b/>
          <w:bCs/>
          <w:i/>
          <w:iCs/>
          <w:sz w:val="26"/>
          <w:szCs w:val="26"/>
          <w:rtl/>
        </w:rPr>
      </w:pPr>
      <w:r>
        <w:rPr>
          <w:rFonts w:ascii="David" w:hAnsi="David"/>
          <w:b/>
          <w:bCs/>
          <w:i/>
          <w:iCs/>
          <w:sz w:val="26"/>
          <w:szCs w:val="26"/>
          <w:rtl/>
        </w:rPr>
        <w:lastRenderedPageBreak/>
        <w:t xml:space="preserve"> </w:t>
      </w:r>
    </w:p>
    <w:p w:rsidR="0013254E" w:rsidRDefault="0013254E" w:rsidP="0013254E">
      <w:pPr>
        <w:spacing w:line="360" w:lineRule="auto"/>
        <w:ind w:left="1287" w:firstLine="153"/>
        <w:rPr>
          <w:rFonts w:ascii="David" w:hAnsi="David"/>
          <w:b/>
          <w:bCs/>
          <w:i/>
          <w:iCs/>
          <w:sz w:val="26"/>
          <w:szCs w:val="26"/>
          <w:rtl/>
        </w:rPr>
      </w:pPr>
      <w:r>
        <w:rPr>
          <w:rFonts w:ascii="David" w:hAnsi="David"/>
          <w:b/>
          <w:bCs/>
          <w:i/>
          <w:iCs/>
          <w:sz w:val="26"/>
          <w:szCs w:val="26"/>
          <w:rtl/>
        </w:rPr>
        <w:t>76.      ולעניין זה ציינה נשיאת ביהמ"ש העליון כב' הנשיאה ד' ביניש</w:t>
      </w:r>
      <w:r>
        <w:rPr>
          <w:rFonts w:ascii="David" w:hAnsi="David" w:hint="cs"/>
          <w:b/>
          <w:bCs/>
          <w:i/>
          <w:iCs/>
          <w:sz w:val="26"/>
          <w:szCs w:val="26"/>
          <w:rtl/>
        </w:rPr>
        <w:t xml:space="preserve">, </w:t>
      </w:r>
    </w:p>
    <w:p w:rsidR="0013254E" w:rsidRDefault="0013254E" w:rsidP="0013254E">
      <w:pPr>
        <w:spacing w:line="360" w:lineRule="auto"/>
        <w:ind w:left="2160"/>
        <w:rPr>
          <w:rFonts w:ascii="David" w:hAnsi="David"/>
          <w:b/>
          <w:bCs/>
          <w:i/>
          <w:iCs/>
          <w:sz w:val="26"/>
          <w:szCs w:val="26"/>
          <w:rtl/>
        </w:rPr>
      </w:pPr>
      <w:r>
        <w:rPr>
          <w:rFonts w:ascii="David" w:hAnsi="David"/>
          <w:b/>
          <w:bCs/>
          <w:i/>
          <w:iCs/>
          <w:sz w:val="26"/>
          <w:szCs w:val="26"/>
          <w:rtl/>
        </w:rPr>
        <w:t>בבג"צ 5918/07 פלונית נ' בית הדין הרבני הגדול [פורסם בנבו], בפס' 38-39:</w:t>
      </w:r>
    </w:p>
    <w:p w:rsidR="0013254E" w:rsidRDefault="0013254E" w:rsidP="0013254E">
      <w:pPr>
        <w:spacing w:line="360" w:lineRule="auto"/>
        <w:ind w:left="567" w:hanging="567"/>
        <w:jc w:val="both"/>
        <w:rPr>
          <w:rFonts w:ascii="David" w:hAnsi="David"/>
          <w:b/>
          <w:bCs/>
          <w:i/>
          <w:iCs/>
          <w:sz w:val="26"/>
          <w:szCs w:val="26"/>
          <w:rtl/>
        </w:rPr>
      </w:pPr>
    </w:p>
    <w:p w:rsidR="0013254E" w:rsidRDefault="0013254E" w:rsidP="0013254E">
      <w:pPr>
        <w:spacing w:line="360" w:lineRule="auto"/>
        <w:ind w:left="2880"/>
        <w:jc w:val="both"/>
        <w:rPr>
          <w:rFonts w:cs="Times New Roman"/>
          <w:b/>
          <w:bCs/>
          <w:i/>
          <w:iCs/>
          <w:rtl/>
        </w:rPr>
      </w:pPr>
      <w:r>
        <w:rPr>
          <w:rFonts w:ascii="David" w:hAnsi="David"/>
          <w:b/>
          <w:bCs/>
          <w:i/>
          <w:iCs/>
          <w:sz w:val="26"/>
          <w:szCs w:val="26"/>
          <w:rtl/>
        </w:rPr>
        <w:t>"תחולתו של עקרון תום-הלב אינה מוגבלת לדיני החוזים והיא מתפרשת על כלל תחומי המשפט. בין היתר, חל עקרון תום-הלב בתחום סדרי הדין האזרחיים. מהותה של חובת תום-הלב בתחום הדיוני הינה כי על בעלי-הדין להפעיל את הזכויות והחיובים המעוגנים בכללי הפרוצדורה האזרחית בדרך מקובלת, ביושר ותוך הגינות בסיסית המתחייבת אף ביחסים שבין צדדים "יריבים" (ראו: אהרן ברק פרשנות במשפט - פרשנות החקיקה כרך ב 550 (1993) (להלן: ברק-פרשנות החקיקה; דודי שוורץ סדר דין אזרחי - חידושים, תהליכים ומגמות 73 ואילך (תשס"ז)). על בעלי-הדין לפעול בסבירות ובהגינות במסגרת ניהול הליכי המשפט וזאת בהתחשב במכלול נסיבות העניין (ראו: בש"א 6479/06 בנק דיסקונט לישראל בע"מ נ' שנפ (טרם פורסם, 15.1.2007), פס' 4 והאסמכתאות המובאות שם)...</w:t>
      </w:r>
    </w:p>
    <w:p w:rsidR="0013254E" w:rsidRDefault="0013254E" w:rsidP="0013254E">
      <w:pPr>
        <w:spacing w:line="360" w:lineRule="auto"/>
        <w:ind w:left="567" w:hanging="567"/>
        <w:jc w:val="both"/>
        <w:rPr>
          <w:rFonts w:cs="Times New Roman"/>
          <w:b/>
          <w:bCs/>
          <w:i/>
          <w:iCs/>
          <w:rtl/>
        </w:rPr>
      </w:pPr>
    </w:p>
    <w:p w:rsidR="0013254E" w:rsidRDefault="0013254E" w:rsidP="0013254E">
      <w:pPr>
        <w:spacing w:line="360" w:lineRule="auto"/>
        <w:ind w:left="2160"/>
        <w:jc w:val="both"/>
        <w:rPr>
          <w:rFonts w:ascii="David" w:hAnsi="David"/>
          <w:b/>
          <w:bCs/>
          <w:i/>
          <w:iCs/>
          <w:sz w:val="26"/>
          <w:szCs w:val="26"/>
          <w:rtl/>
        </w:rPr>
      </w:pPr>
      <w:r>
        <w:rPr>
          <w:rFonts w:ascii="David" w:hAnsi="David"/>
          <w:b/>
          <w:bCs/>
          <w:i/>
          <w:iCs/>
          <w:sz w:val="26"/>
          <w:szCs w:val="26"/>
          <w:rtl/>
        </w:rPr>
        <w:t>ככלל, התפיסה המנחה בהקשר זה הינה כי השמירה על האינטרס האישי של בעל-דין צריכה להיעשות תוך התחשבות בציפיות הדיוניות המוצדקות של הצדדים האחרים להליך, ותוך מילוי חובותיו של בעל-דין כלפי בית-המשפט.</w:t>
      </w:r>
    </w:p>
    <w:p w:rsidR="0013254E" w:rsidRDefault="0013254E" w:rsidP="0013254E">
      <w:pPr>
        <w:spacing w:line="360" w:lineRule="auto"/>
        <w:ind w:left="567" w:hanging="567"/>
        <w:jc w:val="both"/>
        <w:rPr>
          <w:rFonts w:ascii="David" w:hAnsi="David"/>
          <w:b/>
          <w:bCs/>
          <w:i/>
          <w:iCs/>
          <w:sz w:val="26"/>
          <w:szCs w:val="26"/>
          <w:rtl/>
        </w:rPr>
      </w:pPr>
    </w:p>
    <w:p w:rsidR="0013254E" w:rsidRDefault="0013254E" w:rsidP="0013254E">
      <w:pPr>
        <w:spacing w:line="360" w:lineRule="auto"/>
        <w:ind w:left="2160"/>
        <w:jc w:val="both"/>
        <w:rPr>
          <w:rFonts w:ascii="Arial" w:hAnsi="Arial"/>
          <w:noProof w:val="0"/>
          <w:rtl/>
        </w:rPr>
      </w:pPr>
      <w:r>
        <w:rPr>
          <w:rFonts w:ascii="David" w:hAnsi="David"/>
          <w:b/>
          <w:bCs/>
          <w:i/>
          <w:iCs/>
          <w:sz w:val="26"/>
          <w:szCs w:val="26"/>
          <w:rtl/>
        </w:rPr>
        <w:t>יוער כי בדומה לעקרון תום-הלב, אף האיסור על ניצול לרעה של הליכי משפט מבוסס בעיקרו על אמת-מידה אובייקטיבית, הנגזרת מרמת ההתנהגות המצופה והראויה בהתאם לנסיבותיו של כל מקרה. כוונותיו הסובייקטיביות של בעל-דין והשאלה האם פעל בזדון עשויה להשליך על המסקנה האם נעשה שימוש לרעה בהליכי משפט; עם זאת, אמת-המידה המרכזית בהקשר זה הינה סבירות והגינות, קרי - כיצד בעל דין סביר והגון היה נוהג בנסיבות המקרה".</w:t>
      </w:r>
    </w:p>
    <w:p w:rsidR="0013254E" w:rsidRDefault="0013254E" w:rsidP="0013254E">
      <w:pPr>
        <w:spacing w:line="360" w:lineRule="auto"/>
        <w:ind w:left="567" w:hanging="567"/>
        <w:jc w:val="both"/>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tl/>
        </w:rPr>
      </w:pPr>
      <w:r>
        <w:rPr>
          <w:rFonts w:ascii="Arial" w:hAnsi="Arial"/>
          <w:noProof w:val="0"/>
          <w:rtl/>
        </w:rPr>
        <w:t xml:space="preserve">אגב </w:t>
      </w:r>
      <w:r w:rsidRPr="008B4A18">
        <w:rPr>
          <w:rFonts w:ascii="Arial" w:hAnsi="Arial"/>
          <w:noProof w:val="0"/>
          <w:rtl/>
        </w:rPr>
        <w:t>תמ"ש (ת"א) 46648-04-14</w:t>
      </w:r>
      <w:r>
        <w:rPr>
          <w:rFonts w:ascii="Arial" w:hAnsi="Arial"/>
          <w:noProof w:val="0"/>
          <w:rtl/>
        </w:rPr>
        <w:t xml:space="preserve"> </w:t>
      </w:r>
      <w:r>
        <w:rPr>
          <w:rFonts w:ascii="Arial" w:hAnsi="Arial" w:hint="cs"/>
          <w:noProof w:val="0"/>
          <w:rtl/>
        </w:rPr>
        <w:t xml:space="preserve">ר. ש. נ' ד. י. ש. (פמ"מ </w:t>
      </w:r>
      <w:r>
        <w:rPr>
          <w:rFonts w:ascii="Arial" w:hAnsi="Arial"/>
          <w:noProof w:val="0"/>
          <w:rtl/>
        </w:rPr>
        <w:t>–</w:t>
      </w:r>
      <w:r>
        <w:rPr>
          <w:rFonts w:ascii="Arial" w:hAnsi="Arial" w:hint="cs"/>
          <w:noProof w:val="0"/>
          <w:rtl/>
        </w:rPr>
        <w:t xml:space="preserve"> 06.11.2016), </w:t>
      </w:r>
      <w:r>
        <w:rPr>
          <w:rFonts w:ascii="Arial" w:hAnsi="Arial"/>
          <w:noProof w:val="0"/>
          <w:rtl/>
        </w:rPr>
        <w:t xml:space="preserve">כתבתי בין השאר, כך: </w:t>
      </w:r>
    </w:p>
    <w:p w:rsidR="0013254E" w:rsidRPr="00697231" w:rsidRDefault="0013254E" w:rsidP="0013254E">
      <w:pPr>
        <w:spacing w:line="360" w:lineRule="auto"/>
        <w:ind w:left="567" w:hanging="567"/>
        <w:jc w:val="both"/>
        <w:rPr>
          <w:rFonts w:ascii="Arial" w:hAnsi="Arial"/>
          <w:noProof w:val="0"/>
          <w:sz w:val="14"/>
          <w:szCs w:val="14"/>
        </w:rPr>
      </w:pPr>
    </w:p>
    <w:p w:rsidR="0013254E" w:rsidRPr="008B4A18" w:rsidRDefault="0013254E" w:rsidP="0013254E">
      <w:pPr>
        <w:pStyle w:val="af1"/>
        <w:spacing w:line="360" w:lineRule="auto"/>
        <w:ind w:left="2160" w:hanging="720"/>
        <w:jc w:val="both"/>
        <w:rPr>
          <w:rFonts w:ascii="Arial" w:hAnsi="Arial"/>
          <w:b/>
          <w:bCs/>
          <w:i/>
          <w:iCs/>
          <w:noProof w:val="0"/>
          <w:rtl/>
        </w:rPr>
      </w:pPr>
      <w:r>
        <w:rPr>
          <w:rFonts w:ascii="Arial" w:hAnsi="Arial"/>
          <w:b/>
          <w:bCs/>
          <w:i/>
          <w:iCs/>
          <w:noProof w:val="0"/>
          <w:rtl/>
        </w:rPr>
        <w:t xml:space="preserve">"38. </w:t>
      </w:r>
      <w:r>
        <w:rPr>
          <w:rFonts w:ascii="Arial" w:hAnsi="Arial"/>
          <w:b/>
          <w:bCs/>
          <w:i/>
          <w:iCs/>
          <w:noProof w:val="0"/>
          <w:rtl/>
        </w:rPr>
        <w:tab/>
        <w:t>חוק החוזים (תרופות בשל הפרת חוזה) בשל הפרת חוזה, או החוק לאיסור עשיית עושר ולא במשפט אינם מעניקים פיצוי אוטומטי אם בוצע חוזה באיחור או לא במועד אשר ננקב בו וללא אותו מרכיב של זדון, אשר נועד להפקת רווח לצד הפוגע, כביכול (וראה ע"א 2161/11 דוד דרור נ' יוסף פרץ {פמ"מ – 5/2/2013})."</w:t>
      </w:r>
    </w:p>
    <w:p w:rsidR="0013254E" w:rsidRDefault="0013254E" w:rsidP="0013254E">
      <w:pPr>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tl/>
        </w:rPr>
        <w:t>חובת</w:t>
      </w:r>
      <w:r>
        <w:rPr>
          <w:rFonts w:hint="cs"/>
        </w:rPr>
        <w:t xml:space="preserve"> </w:t>
      </w:r>
      <w:r>
        <w:rPr>
          <w:rtl/>
        </w:rPr>
        <w:t>תום</w:t>
      </w:r>
      <w:r>
        <w:rPr>
          <w:rFonts w:hint="cs"/>
        </w:rPr>
        <w:t xml:space="preserve"> </w:t>
      </w:r>
      <w:r>
        <w:rPr>
          <w:rtl/>
        </w:rPr>
        <w:t>הלב</w:t>
      </w:r>
      <w:r>
        <w:rPr>
          <w:rFonts w:hint="cs"/>
        </w:rPr>
        <w:t xml:space="preserve"> </w:t>
      </w:r>
      <w:r>
        <w:rPr>
          <w:rtl/>
        </w:rPr>
        <w:t>מופיעה בחוק החוזים (חלק</w:t>
      </w:r>
      <w:r>
        <w:rPr>
          <w:rFonts w:hint="cs"/>
        </w:rPr>
        <w:t xml:space="preserve"> </w:t>
      </w:r>
      <w:r>
        <w:rPr>
          <w:rtl/>
        </w:rPr>
        <w:t>כללי) ביחד</w:t>
      </w:r>
      <w:r>
        <w:rPr>
          <w:rFonts w:hint="cs"/>
        </w:rPr>
        <w:t xml:space="preserve"> </w:t>
      </w:r>
      <w:r>
        <w:rPr>
          <w:rtl/>
        </w:rPr>
        <w:t>עם</w:t>
      </w:r>
      <w:r>
        <w:rPr>
          <w:rFonts w:hint="cs"/>
        </w:rPr>
        <w:t xml:space="preserve"> </w:t>
      </w:r>
      <w:r>
        <w:rPr>
          <w:rtl/>
        </w:rPr>
        <w:t>הדרישה</w:t>
      </w:r>
      <w:r>
        <w:rPr>
          <w:rFonts w:hint="cs"/>
        </w:rPr>
        <w:t xml:space="preserve"> </w:t>
      </w:r>
      <w:r>
        <w:rPr>
          <w:rtl/>
        </w:rPr>
        <w:t>לדרך</w:t>
      </w:r>
      <w:r>
        <w:rPr>
          <w:rFonts w:hint="cs"/>
        </w:rPr>
        <w:t xml:space="preserve"> </w:t>
      </w:r>
      <w:r>
        <w:rPr>
          <w:rtl/>
        </w:rPr>
        <w:t xml:space="preserve">מקובלת. </w:t>
      </w:r>
      <w:r>
        <w:rPr>
          <w:rFonts w:hint="cs"/>
        </w:rPr>
        <w:t xml:space="preserve"> </w:t>
      </w:r>
      <w:r>
        <w:rPr>
          <w:rtl/>
        </w:rPr>
        <w:t>הדרישה</w:t>
      </w:r>
      <w:r>
        <w:rPr>
          <w:rFonts w:hint="cs"/>
        </w:rPr>
        <w:t xml:space="preserve"> </w:t>
      </w:r>
      <w:r>
        <w:rPr>
          <w:rtl/>
        </w:rPr>
        <w:t>לתום</w:t>
      </w:r>
      <w:r>
        <w:rPr>
          <w:rFonts w:hint="cs"/>
        </w:rPr>
        <w:t xml:space="preserve"> </w:t>
      </w:r>
      <w:r>
        <w:rPr>
          <w:rtl/>
        </w:rPr>
        <w:t>לב ולדרך</w:t>
      </w:r>
      <w:r>
        <w:rPr>
          <w:rFonts w:hint="cs"/>
        </w:rPr>
        <w:t xml:space="preserve"> </w:t>
      </w:r>
      <w:r>
        <w:rPr>
          <w:rtl/>
        </w:rPr>
        <w:t>מקובלת</w:t>
      </w:r>
      <w:r>
        <w:rPr>
          <w:rFonts w:hint="cs"/>
        </w:rPr>
        <w:t xml:space="preserve"> </w:t>
      </w:r>
      <w:r>
        <w:rPr>
          <w:rtl/>
        </w:rPr>
        <w:t>פורשה</w:t>
      </w:r>
      <w:r>
        <w:rPr>
          <w:rFonts w:hint="cs"/>
        </w:rPr>
        <w:t xml:space="preserve"> </w:t>
      </w:r>
      <w:r>
        <w:rPr>
          <w:rtl/>
        </w:rPr>
        <w:t>בפסיקה</w:t>
      </w:r>
      <w:r>
        <w:rPr>
          <w:rFonts w:hint="cs"/>
        </w:rPr>
        <w:t xml:space="preserve"> </w:t>
      </w:r>
      <w:r>
        <w:rPr>
          <w:rtl/>
        </w:rPr>
        <w:t>כדרישה</w:t>
      </w:r>
      <w:r>
        <w:rPr>
          <w:rFonts w:hint="cs"/>
        </w:rPr>
        <w:t xml:space="preserve"> </w:t>
      </w:r>
      <w:r>
        <w:rPr>
          <w:rtl/>
        </w:rPr>
        <w:t xml:space="preserve">אחת. </w:t>
      </w:r>
    </w:p>
    <w:p w:rsidR="0013254E" w:rsidRPr="004F5B85" w:rsidRDefault="0013254E" w:rsidP="0013254E">
      <w:pPr>
        <w:pStyle w:val="af1"/>
        <w:spacing w:line="360" w:lineRule="auto"/>
        <w:ind w:left="567"/>
        <w:jc w:val="both"/>
        <w:rPr>
          <w:rFonts w:ascii="Arial" w:hAnsi="Arial"/>
          <w:noProof w:val="0"/>
          <w:sz w:val="14"/>
          <w:szCs w:val="14"/>
        </w:rPr>
      </w:pPr>
    </w:p>
    <w:p w:rsidR="0013254E" w:rsidRPr="004F5B85" w:rsidRDefault="0013254E" w:rsidP="0013254E">
      <w:pPr>
        <w:pStyle w:val="af1"/>
        <w:numPr>
          <w:ilvl w:val="0"/>
          <w:numId w:val="1"/>
        </w:numPr>
        <w:spacing w:line="360" w:lineRule="auto"/>
        <w:ind w:left="567" w:hanging="567"/>
        <w:jc w:val="both"/>
        <w:rPr>
          <w:rFonts w:ascii="Arial" w:hAnsi="Arial"/>
          <w:noProof w:val="0"/>
          <w:rtl/>
        </w:rPr>
      </w:pPr>
      <w:r>
        <w:rPr>
          <w:rtl/>
        </w:rPr>
        <w:t>סעיף</w:t>
      </w:r>
      <w:r w:rsidRPr="004F5B85">
        <w:rPr>
          <w:b/>
          <w:bCs/>
          <w:rtl/>
        </w:rPr>
        <w:t xml:space="preserve"> 39</w:t>
      </w:r>
      <w:r>
        <w:rPr>
          <w:rtl/>
        </w:rPr>
        <w:t xml:space="preserve"> לחוק</w:t>
      </w:r>
      <w:r>
        <w:rPr>
          <w:rFonts w:hint="cs"/>
        </w:rPr>
        <w:t xml:space="preserve"> </w:t>
      </w:r>
      <w:r>
        <w:rPr>
          <w:rtl/>
        </w:rPr>
        <w:t>קובע</w:t>
      </w:r>
      <w:r>
        <w:rPr>
          <w:rFonts w:hint="cs"/>
        </w:rPr>
        <w:t xml:space="preserve"> </w:t>
      </w:r>
      <w:r>
        <w:rPr>
          <w:rtl/>
        </w:rPr>
        <w:t>כי "בקיום</w:t>
      </w:r>
      <w:r>
        <w:rPr>
          <w:rFonts w:hint="cs"/>
        </w:rPr>
        <w:t xml:space="preserve"> </w:t>
      </w:r>
      <w:r>
        <w:rPr>
          <w:rtl/>
        </w:rPr>
        <w:t>של</w:t>
      </w:r>
      <w:r>
        <w:rPr>
          <w:rFonts w:hint="cs"/>
        </w:rPr>
        <w:t xml:space="preserve"> </w:t>
      </w:r>
      <w:r>
        <w:rPr>
          <w:rtl/>
        </w:rPr>
        <w:t>חיוב</w:t>
      </w:r>
      <w:r>
        <w:rPr>
          <w:rFonts w:hint="cs"/>
        </w:rPr>
        <w:t xml:space="preserve"> </w:t>
      </w:r>
      <w:r>
        <w:rPr>
          <w:rtl/>
        </w:rPr>
        <w:t>הנובע</w:t>
      </w:r>
      <w:r>
        <w:rPr>
          <w:rFonts w:hint="cs"/>
        </w:rPr>
        <w:t xml:space="preserve"> </w:t>
      </w:r>
      <w:r>
        <w:rPr>
          <w:rtl/>
        </w:rPr>
        <w:t>מחוזה יש</w:t>
      </w:r>
      <w:r>
        <w:rPr>
          <w:rFonts w:hint="cs"/>
        </w:rPr>
        <w:t xml:space="preserve"> </w:t>
      </w:r>
      <w:r>
        <w:rPr>
          <w:rtl/>
        </w:rPr>
        <w:t>לנהוג</w:t>
      </w:r>
      <w:r>
        <w:rPr>
          <w:rFonts w:hint="cs"/>
        </w:rPr>
        <w:t xml:space="preserve"> </w:t>
      </w:r>
      <w:r>
        <w:rPr>
          <w:rtl/>
        </w:rPr>
        <w:t>בדרך</w:t>
      </w:r>
      <w:r>
        <w:rPr>
          <w:rFonts w:hint="cs"/>
        </w:rPr>
        <w:t xml:space="preserve"> </w:t>
      </w:r>
      <w:r>
        <w:rPr>
          <w:rtl/>
        </w:rPr>
        <w:t>מקובלת</w:t>
      </w:r>
      <w:r>
        <w:rPr>
          <w:rFonts w:hint="cs"/>
        </w:rPr>
        <w:t xml:space="preserve"> </w:t>
      </w:r>
      <w:r>
        <w:rPr>
          <w:rtl/>
        </w:rPr>
        <w:t>ובתום</w:t>
      </w:r>
      <w:r>
        <w:rPr>
          <w:rFonts w:hint="cs"/>
        </w:rPr>
        <w:t xml:space="preserve"> </w:t>
      </w:r>
      <w:r>
        <w:rPr>
          <w:rtl/>
        </w:rPr>
        <w:t>לב"</w:t>
      </w:r>
      <w:r>
        <w:rPr>
          <w:rFonts w:hint="cs"/>
        </w:rPr>
        <w:t xml:space="preserve"> </w:t>
      </w:r>
      <w:r>
        <w:rPr>
          <w:rtl/>
        </w:rPr>
        <w:t>מהווה</w:t>
      </w:r>
      <w:r>
        <w:rPr>
          <w:rFonts w:hint="cs"/>
        </w:rPr>
        <w:t xml:space="preserve"> </w:t>
      </w:r>
      <w:r>
        <w:rPr>
          <w:rtl/>
        </w:rPr>
        <w:t>הוראת</w:t>
      </w:r>
      <w:r>
        <w:rPr>
          <w:rFonts w:hint="cs"/>
        </w:rPr>
        <w:t xml:space="preserve"> </w:t>
      </w:r>
      <w:r>
        <w:rPr>
          <w:rtl/>
        </w:rPr>
        <w:t>יסוד</w:t>
      </w:r>
      <w:r>
        <w:rPr>
          <w:rFonts w:hint="cs"/>
        </w:rPr>
        <w:t xml:space="preserve"> </w:t>
      </w:r>
      <w:r>
        <w:rPr>
          <w:rtl/>
        </w:rPr>
        <w:t>במשפט</w:t>
      </w:r>
      <w:r>
        <w:rPr>
          <w:rFonts w:hint="cs"/>
        </w:rPr>
        <w:t xml:space="preserve"> </w:t>
      </w:r>
      <w:r>
        <w:rPr>
          <w:rtl/>
        </w:rPr>
        <w:t>הישראלי</w:t>
      </w:r>
      <w:r>
        <w:rPr>
          <w:rFonts w:hint="cs"/>
        </w:rPr>
        <w:t xml:space="preserve"> </w:t>
      </w:r>
      <w:r>
        <w:rPr>
          <w:rtl/>
        </w:rPr>
        <w:t xml:space="preserve">בכלל, </w:t>
      </w:r>
      <w:r>
        <w:rPr>
          <w:rFonts w:hint="cs"/>
        </w:rPr>
        <w:t xml:space="preserve"> </w:t>
      </w:r>
      <w:r>
        <w:rPr>
          <w:rtl/>
        </w:rPr>
        <w:t>ובמשפט</w:t>
      </w:r>
      <w:r>
        <w:rPr>
          <w:rFonts w:hint="cs"/>
        </w:rPr>
        <w:t xml:space="preserve"> </w:t>
      </w:r>
      <w:r>
        <w:rPr>
          <w:rtl/>
        </w:rPr>
        <w:t>הפרטי בפרט.</w:t>
      </w:r>
      <w:r>
        <w:rPr>
          <w:rFonts w:hint="cs"/>
        </w:rPr>
        <w:t xml:space="preserve"> </w:t>
      </w:r>
      <w:r>
        <w:rPr>
          <w:rtl/>
        </w:rPr>
        <w:t>היא</w:t>
      </w:r>
      <w:r>
        <w:rPr>
          <w:rFonts w:hint="cs"/>
        </w:rPr>
        <w:t xml:space="preserve"> </w:t>
      </w:r>
      <w:r>
        <w:rPr>
          <w:rtl/>
        </w:rPr>
        <w:t>משקפת</w:t>
      </w:r>
      <w:r>
        <w:rPr>
          <w:rFonts w:hint="cs"/>
        </w:rPr>
        <w:t xml:space="preserve"> </w:t>
      </w:r>
      <w:r>
        <w:rPr>
          <w:rtl/>
        </w:rPr>
        <w:t>דוקטרינה "מלכותית" (ראו</w:t>
      </w:r>
      <w:r>
        <w:rPr>
          <w:rFonts w:hint="cs"/>
        </w:rPr>
        <w:t xml:space="preserve"> </w:t>
      </w:r>
      <w:r>
        <w:rPr>
          <w:rtl/>
        </w:rPr>
        <w:t>בג"ץ</w:t>
      </w:r>
      <w:r>
        <w:rPr>
          <w:rFonts w:hint="cs"/>
        </w:rPr>
        <w:t xml:space="preserve"> </w:t>
      </w:r>
      <w:r>
        <w:rPr>
          <w:rtl/>
        </w:rPr>
        <w:t>1683/93</w:t>
      </w:r>
      <w:r>
        <w:rPr>
          <w:rFonts w:hint="cs"/>
        </w:rPr>
        <w:t xml:space="preserve"> </w:t>
      </w:r>
      <w:r w:rsidRPr="004F5B85">
        <w:rPr>
          <w:b/>
          <w:bCs/>
          <w:rtl/>
        </w:rPr>
        <w:t>יבין</w:t>
      </w:r>
      <w:r w:rsidRPr="004F5B85">
        <w:rPr>
          <w:rFonts w:hint="cs"/>
          <w:b/>
          <w:bCs/>
        </w:rPr>
        <w:t xml:space="preserve"> </w:t>
      </w:r>
      <w:r w:rsidRPr="004F5B85">
        <w:rPr>
          <w:b/>
          <w:bCs/>
          <w:rtl/>
        </w:rPr>
        <w:t>פלסט</w:t>
      </w:r>
      <w:r w:rsidRPr="004F5B85">
        <w:rPr>
          <w:rFonts w:hint="cs"/>
          <w:b/>
          <w:bCs/>
        </w:rPr>
        <w:t xml:space="preserve"> </w:t>
      </w:r>
      <w:r w:rsidRPr="004F5B85">
        <w:rPr>
          <w:b/>
          <w:bCs/>
          <w:rtl/>
        </w:rPr>
        <w:t>בע</w:t>
      </w:r>
      <w:r w:rsidRPr="004F5B85">
        <w:rPr>
          <w:b/>
          <w:bCs/>
        </w:rPr>
        <w:t>"</w:t>
      </w:r>
      <w:r w:rsidRPr="004F5B85">
        <w:rPr>
          <w:b/>
          <w:bCs/>
          <w:rtl/>
        </w:rPr>
        <w:t>מ</w:t>
      </w:r>
      <w:r w:rsidRPr="004F5B85">
        <w:rPr>
          <w:rFonts w:hint="cs"/>
          <w:b/>
          <w:bCs/>
        </w:rPr>
        <w:t xml:space="preserve"> </w:t>
      </w:r>
      <w:r w:rsidRPr="004F5B85">
        <w:rPr>
          <w:b/>
          <w:bCs/>
          <w:rtl/>
        </w:rPr>
        <w:t>נ</w:t>
      </w:r>
      <w:r w:rsidRPr="004F5B85">
        <w:rPr>
          <w:rFonts w:hint="cs"/>
          <w:b/>
          <w:bCs/>
        </w:rPr>
        <w:t xml:space="preserve"> </w:t>
      </w:r>
      <w:r w:rsidRPr="004F5B85">
        <w:rPr>
          <w:b/>
          <w:bCs/>
          <w:rtl/>
        </w:rPr>
        <w:t>'בית</w:t>
      </w:r>
      <w:r w:rsidRPr="004F5B85">
        <w:rPr>
          <w:rFonts w:hint="cs"/>
          <w:b/>
          <w:bCs/>
        </w:rPr>
        <w:t xml:space="preserve"> </w:t>
      </w:r>
      <w:r w:rsidRPr="004F5B85">
        <w:rPr>
          <w:b/>
          <w:bCs/>
          <w:rtl/>
        </w:rPr>
        <w:t>הדין</w:t>
      </w:r>
      <w:r w:rsidRPr="004F5B85">
        <w:rPr>
          <w:rFonts w:hint="cs"/>
          <w:b/>
          <w:bCs/>
        </w:rPr>
        <w:t xml:space="preserve"> </w:t>
      </w:r>
      <w:r w:rsidRPr="004F5B85">
        <w:rPr>
          <w:b/>
          <w:bCs/>
          <w:rtl/>
        </w:rPr>
        <w:t>הארצי לעבודה</w:t>
      </w:r>
      <w:r w:rsidRPr="004F5B85">
        <w:rPr>
          <w:rFonts w:hint="cs"/>
          <w:b/>
          <w:bCs/>
        </w:rPr>
        <w:t xml:space="preserve"> </w:t>
      </w:r>
      <w:r w:rsidRPr="004F5B85">
        <w:rPr>
          <w:b/>
          <w:bCs/>
          <w:rtl/>
        </w:rPr>
        <w:t>בירושלים</w:t>
      </w:r>
      <w:r>
        <w:rPr>
          <w:rtl/>
        </w:rPr>
        <w:t>,</w:t>
      </w:r>
      <w:r>
        <w:rPr>
          <w:rFonts w:hint="cs"/>
        </w:rPr>
        <w:t xml:space="preserve"> </w:t>
      </w:r>
      <w:r>
        <w:rPr>
          <w:rtl/>
        </w:rPr>
        <w:t>פ"ד</w:t>
      </w:r>
      <w:r>
        <w:rPr>
          <w:rFonts w:hint="cs"/>
        </w:rPr>
        <w:t xml:space="preserve"> </w:t>
      </w:r>
      <w:r>
        <w:rPr>
          <w:rtl/>
        </w:rPr>
        <w:t>מז(4) 702, 708). היא</w:t>
      </w:r>
      <w:r>
        <w:rPr>
          <w:rFonts w:hint="cs"/>
        </w:rPr>
        <w:t xml:space="preserve"> </w:t>
      </w:r>
      <w:r>
        <w:rPr>
          <w:rtl/>
        </w:rPr>
        <w:t>מהווה</w:t>
      </w:r>
      <w:r>
        <w:rPr>
          <w:rFonts w:hint="cs"/>
        </w:rPr>
        <w:t xml:space="preserve"> </w:t>
      </w:r>
      <w:r>
        <w:rPr>
          <w:rtl/>
        </w:rPr>
        <w:t>את</w:t>
      </w:r>
      <w:r>
        <w:rPr>
          <w:rFonts w:hint="cs"/>
        </w:rPr>
        <w:t xml:space="preserve"> </w:t>
      </w:r>
      <w:r>
        <w:rPr>
          <w:rtl/>
        </w:rPr>
        <w:t>ה</w:t>
      </w:r>
      <w:r>
        <w:t>"</w:t>
      </w:r>
      <w:r>
        <w:rPr>
          <w:rtl/>
        </w:rPr>
        <w:t>נשמה</w:t>
      </w:r>
      <w:r>
        <w:t xml:space="preserve">" </w:t>
      </w:r>
      <w:r>
        <w:rPr>
          <w:rtl/>
        </w:rPr>
        <w:t>של</w:t>
      </w:r>
      <w:r>
        <w:rPr>
          <w:rFonts w:hint="cs"/>
        </w:rPr>
        <w:t xml:space="preserve"> </w:t>
      </w:r>
      <w:r>
        <w:rPr>
          <w:rtl/>
        </w:rPr>
        <w:t>מערכת</w:t>
      </w:r>
      <w:r>
        <w:rPr>
          <w:rFonts w:hint="cs"/>
        </w:rPr>
        <w:t xml:space="preserve"> </w:t>
      </w:r>
      <w:r>
        <w:rPr>
          <w:rtl/>
        </w:rPr>
        <w:t xml:space="preserve">המשפט (ע"א 391/80 </w:t>
      </w:r>
      <w:r w:rsidRPr="004F5B85">
        <w:rPr>
          <w:b/>
          <w:bCs/>
          <w:rtl/>
        </w:rPr>
        <w:t>לסרסון</w:t>
      </w:r>
      <w:r w:rsidRPr="004F5B85">
        <w:rPr>
          <w:rFonts w:hint="cs"/>
          <w:b/>
          <w:bCs/>
        </w:rPr>
        <w:t xml:space="preserve"> </w:t>
      </w:r>
      <w:r w:rsidRPr="004F5B85">
        <w:rPr>
          <w:b/>
          <w:bCs/>
          <w:rtl/>
        </w:rPr>
        <w:t>נ'</w:t>
      </w:r>
      <w:r w:rsidRPr="004F5B85">
        <w:rPr>
          <w:rFonts w:hint="cs"/>
          <w:b/>
          <w:bCs/>
        </w:rPr>
        <w:t xml:space="preserve"> </w:t>
      </w:r>
      <w:r w:rsidRPr="004F5B85">
        <w:rPr>
          <w:b/>
          <w:bCs/>
          <w:rtl/>
        </w:rPr>
        <w:t>שיכון</w:t>
      </w:r>
      <w:r w:rsidRPr="004F5B85">
        <w:rPr>
          <w:rFonts w:hint="cs"/>
          <w:b/>
          <w:bCs/>
        </w:rPr>
        <w:t xml:space="preserve"> </w:t>
      </w:r>
      <w:r w:rsidRPr="004F5B85">
        <w:rPr>
          <w:b/>
          <w:bCs/>
          <w:rtl/>
        </w:rPr>
        <w:t>עובדים</w:t>
      </w:r>
      <w:r w:rsidRPr="004F5B85">
        <w:rPr>
          <w:rFonts w:hint="cs"/>
          <w:b/>
          <w:bCs/>
        </w:rPr>
        <w:t xml:space="preserve"> </w:t>
      </w:r>
      <w:r w:rsidRPr="004F5B85">
        <w:rPr>
          <w:b/>
          <w:bCs/>
          <w:rtl/>
        </w:rPr>
        <w:t>בע"מ</w:t>
      </w:r>
      <w:r>
        <w:rPr>
          <w:rtl/>
        </w:rPr>
        <w:t>, פ"ד ל"ח(2), 237, 264). היא</w:t>
      </w:r>
      <w:r>
        <w:rPr>
          <w:rFonts w:hint="cs"/>
        </w:rPr>
        <w:t xml:space="preserve"> </w:t>
      </w:r>
      <w:r>
        <w:rPr>
          <w:rtl/>
        </w:rPr>
        <w:t>מציבה</w:t>
      </w:r>
      <w:r>
        <w:rPr>
          <w:rFonts w:hint="cs"/>
        </w:rPr>
        <w:t xml:space="preserve"> </w:t>
      </w:r>
      <w:r>
        <w:rPr>
          <w:rtl/>
        </w:rPr>
        <w:t>בפני</w:t>
      </w:r>
      <w:r>
        <w:rPr>
          <w:rFonts w:hint="cs"/>
        </w:rPr>
        <w:t xml:space="preserve"> </w:t>
      </w:r>
      <w:r>
        <w:rPr>
          <w:rtl/>
        </w:rPr>
        <w:t>הפרט</w:t>
      </w:r>
      <w:r>
        <w:rPr>
          <w:rFonts w:hint="cs"/>
        </w:rPr>
        <w:t xml:space="preserve"> </w:t>
      </w:r>
      <w:r>
        <w:rPr>
          <w:rtl/>
        </w:rPr>
        <w:t>את</w:t>
      </w:r>
      <w:r>
        <w:rPr>
          <w:rFonts w:hint="cs"/>
        </w:rPr>
        <w:t xml:space="preserve"> </w:t>
      </w:r>
      <w:r>
        <w:rPr>
          <w:rtl/>
        </w:rPr>
        <w:t>החובה</w:t>
      </w:r>
      <w:r>
        <w:rPr>
          <w:rFonts w:hint="cs"/>
        </w:rPr>
        <w:t xml:space="preserve"> </w:t>
      </w:r>
      <w:r>
        <w:rPr>
          <w:rtl/>
        </w:rPr>
        <w:t>לנהוג</w:t>
      </w:r>
      <w:r>
        <w:rPr>
          <w:rFonts w:hint="cs"/>
        </w:rPr>
        <w:t xml:space="preserve"> </w:t>
      </w:r>
      <w:r>
        <w:rPr>
          <w:rtl/>
        </w:rPr>
        <w:t>ביושר ובהגינות (בג"ץ 59/80</w:t>
      </w:r>
      <w:r>
        <w:rPr>
          <w:rFonts w:hint="cs"/>
        </w:rPr>
        <w:t xml:space="preserve"> </w:t>
      </w:r>
      <w:r w:rsidRPr="004F5B85">
        <w:rPr>
          <w:b/>
          <w:bCs/>
          <w:rtl/>
        </w:rPr>
        <w:t>שירותי</w:t>
      </w:r>
      <w:r w:rsidRPr="004F5B85">
        <w:rPr>
          <w:rFonts w:hint="cs"/>
          <w:b/>
          <w:bCs/>
        </w:rPr>
        <w:t xml:space="preserve"> </w:t>
      </w:r>
      <w:r w:rsidRPr="004F5B85">
        <w:rPr>
          <w:b/>
          <w:bCs/>
          <w:rtl/>
        </w:rPr>
        <w:t>תחבורה</w:t>
      </w:r>
      <w:r w:rsidRPr="004F5B85">
        <w:rPr>
          <w:rFonts w:hint="cs"/>
          <w:b/>
          <w:bCs/>
        </w:rPr>
        <w:t xml:space="preserve"> </w:t>
      </w:r>
      <w:r w:rsidRPr="004F5B85">
        <w:rPr>
          <w:b/>
          <w:bCs/>
          <w:rtl/>
        </w:rPr>
        <w:t>ציבוריים</w:t>
      </w:r>
      <w:r w:rsidRPr="004F5B85">
        <w:rPr>
          <w:rFonts w:hint="cs"/>
          <w:b/>
          <w:bCs/>
        </w:rPr>
        <w:t xml:space="preserve"> </w:t>
      </w:r>
      <w:r w:rsidRPr="004F5B85">
        <w:rPr>
          <w:b/>
          <w:bCs/>
          <w:rtl/>
        </w:rPr>
        <w:t>באר</w:t>
      </w:r>
      <w:r w:rsidRPr="004F5B85">
        <w:rPr>
          <w:rFonts w:hint="cs"/>
          <w:b/>
          <w:bCs/>
        </w:rPr>
        <w:t xml:space="preserve"> </w:t>
      </w:r>
      <w:r w:rsidRPr="004F5B85">
        <w:rPr>
          <w:b/>
          <w:bCs/>
          <w:rtl/>
        </w:rPr>
        <w:t>שבע</w:t>
      </w:r>
      <w:r w:rsidRPr="004F5B85">
        <w:rPr>
          <w:rFonts w:hint="cs"/>
          <w:b/>
          <w:bCs/>
        </w:rPr>
        <w:t xml:space="preserve"> </w:t>
      </w:r>
      <w:r w:rsidRPr="004F5B85">
        <w:rPr>
          <w:b/>
          <w:bCs/>
          <w:rtl/>
        </w:rPr>
        <w:t>נ'</w:t>
      </w:r>
      <w:r w:rsidRPr="004F5B85">
        <w:rPr>
          <w:rFonts w:hint="cs"/>
          <w:b/>
          <w:bCs/>
        </w:rPr>
        <w:t xml:space="preserve"> </w:t>
      </w:r>
      <w:r w:rsidRPr="004F5B85">
        <w:rPr>
          <w:b/>
          <w:bCs/>
          <w:rtl/>
        </w:rPr>
        <w:t>בית</w:t>
      </w:r>
      <w:r w:rsidRPr="004F5B85">
        <w:rPr>
          <w:rFonts w:hint="cs"/>
          <w:b/>
          <w:bCs/>
        </w:rPr>
        <w:t xml:space="preserve"> </w:t>
      </w:r>
      <w:r w:rsidRPr="004F5B85">
        <w:rPr>
          <w:b/>
          <w:bCs/>
          <w:rtl/>
        </w:rPr>
        <w:t>הדין</w:t>
      </w:r>
      <w:r w:rsidRPr="004F5B85">
        <w:rPr>
          <w:rFonts w:hint="cs"/>
          <w:b/>
          <w:bCs/>
        </w:rPr>
        <w:t xml:space="preserve"> </w:t>
      </w:r>
      <w:r w:rsidRPr="004F5B85">
        <w:rPr>
          <w:b/>
          <w:bCs/>
          <w:rtl/>
        </w:rPr>
        <w:t>הארצי</w:t>
      </w:r>
      <w:r w:rsidRPr="004F5B85">
        <w:rPr>
          <w:rFonts w:hint="cs"/>
          <w:b/>
          <w:bCs/>
        </w:rPr>
        <w:t xml:space="preserve"> </w:t>
      </w:r>
      <w:r w:rsidRPr="004F5B85">
        <w:rPr>
          <w:b/>
          <w:bCs/>
          <w:rtl/>
        </w:rPr>
        <w:t>לעבודה</w:t>
      </w:r>
      <w:r>
        <w:rPr>
          <w:rtl/>
        </w:rPr>
        <w:t>,</w:t>
      </w:r>
      <w:r>
        <w:rPr>
          <w:rFonts w:hint="cs"/>
        </w:rPr>
        <w:t xml:space="preserve"> </w:t>
      </w:r>
      <w:r>
        <w:rPr>
          <w:rtl/>
        </w:rPr>
        <w:t>פ"ד</w:t>
      </w:r>
      <w:r>
        <w:rPr>
          <w:rFonts w:hint="cs"/>
        </w:rPr>
        <w:t xml:space="preserve"> </w:t>
      </w:r>
      <w:r>
        <w:rPr>
          <w:rtl/>
        </w:rPr>
        <w:t xml:space="preserve">לה(1) 828, 834). </w:t>
      </w:r>
      <w:r>
        <w:rPr>
          <w:rFonts w:hint="cs"/>
        </w:rPr>
        <w:t xml:space="preserve"> </w:t>
      </w:r>
      <w:r>
        <w:rPr>
          <w:rtl/>
        </w:rPr>
        <w:t>היא</w:t>
      </w:r>
      <w:r>
        <w:rPr>
          <w:rFonts w:hint="cs"/>
        </w:rPr>
        <w:t xml:space="preserve"> </w:t>
      </w:r>
      <w:r>
        <w:rPr>
          <w:rtl/>
        </w:rPr>
        <w:t>אינה</w:t>
      </w:r>
      <w:r>
        <w:rPr>
          <w:rFonts w:hint="cs"/>
        </w:rPr>
        <w:t xml:space="preserve"> </w:t>
      </w:r>
      <w:r>
        <w:rPr>
          <w:rtl/>
        </w:rPr>
        <w:t>דורשת</w:t>
      </w:r>
      <w:r>
        <w:rPr>
          <w:rFonts w:hint="cs"/>
        </w:rPr>
        <w:t xml:space="preserve"> </w:t>
      </w:r>
      <w:r>
        <w:rPr>
          <w:rtl/>
        </w:rPr>
        <w:t>כי</w:t>
      </w:r>
      <w:r>
        <w:rPr>
          <w:rFonts w:hint="cs"/>
        </w:rPr>
        <w:t xml:space="preserve"> </w:t>
      </w:r>
      <w:r>
        <w:rPr>
          <w:rtl/>
        </w:rPr>
        <w:t>הצדדים</w:t>
      </w:r>
      <w:r>
        <w:rPr>
          <w:rFonts w:hint="cs"/>
        </w:rPr>
        <w:t xml:space="preserve"> </w:t>
      </w:r>
      <w:r>
        <w:rPr>
          <w:rtl/>
        </w:rPr>
        <w:t>יהיו</w:t>
      </w:r>
      <w:r>
        <w:rPr>
          <w:rFonts w:hint="cs"/>
        </w:rPr>
        <w:t xml:space="preserve"> </w:t>
      </w:r>
      <w:r>
        <w:rPr>
          <w:rtl/>
        </w:rPr>
        <w:t>מלאכים</w:t>
      </w:r>
      <w:r>
        <w:rPr>
          <w:rFonts w:hint="cs"/>
        </w:rPr>
        <w:t xml:space="preserve"> </w:t>
      </w:r>
      <w:r>
        <w:rPr>
          <w:rtl/>
        </w:rPr>
        <w:t>זה</w:t>
      </w:r>
      <w:r>
        <w:rPr>
          <w:rFonts w:hint="cs"/>
        </w:rPr>
        <w:t xml:space="preserve"> </w:t>
      </w:r>
      <w:r>
        <w:rPr>
          <w:rtl/>
        </w:rPr>
        <w:t>לזה.</w:t>
      </w:r>
      <w:r>
        <w:rPr>
          <w:rFonts w:hint="cs"/>
        </w:rPr>
        <w:t xml:space="preserve"> </w:t>
      </w:r>
      <w:r>
        <w:rPr>
          <w:rtl/>
        </w:rPr>
        <w:t>היא</w:t>
      </w:r>
      <w:r>
        <w:rPr>
          <w:rFonts w:hint="cs"/>
        </w:rPr>
        <w:t xml:space="preserve"> </w:t>
      </w:r>
      <w:r>
        <w:rPr>
          <w:rtl/>
        </w:rPr>
        <w:t>באה</w:t>
      </w:r>
      <w:r>
        <w:rPr>
          <w:rFonts w:hint="cs"/>
        </w:rPr>
        <w:t xml:space="preserve"> </w:t>
      </w:r>
      <w:r>
        <w:rPr>
          <w:rtl/>
        </w:rPr>
        <w:t>למנוע</w:t>
      </w:r>
      <w:r>
        <w:rPr>
          <w:rFonts w:hint="cs"/>
        </w:rPr>
        <w:t xml:space="preserve"> </w:t>
      </w:r>
      <w:r>
        <w:rPr>
          <w:rtl/>
        </w:rPr>
        <w:t>מצב</w:t>
      </w:r>
      <w:r>
        <w:rPr>
          <w:rFonts w:hint="cs"/>
        </w:rPr>
        <w:t xml:space="preserve"> </w:t>
      </w:r>
      <w:r>
        <w:rPr>
          <w:rtl/>
        </w:rPr>
        <w:t>שבו</w:t>
      </w:r>
      <w:r>
        <w:rPr>
          <w:rFonts w:hint="cs"/>
        </w:rPr>
        <w:t xml:space="preserve"> </w:t>
      </w:r>
      <w:r>
        <w:rPr>
          <w:rtl/>
        </w:rPr>
        <w:t>אדם</w:t>
      </w:r>
      <w:r>
        <w:rPr>
          <w:rFonts w:hint="cs"/>
        </w:rPr>
        <w:t xml:space="preserve"> </w:t>
      </w:r>
      <w:r>
        <w:rPr>
          <w:rtl/>
        </w:rPr>
        <w:t>לאדם זאב.</w:t>
      </w:r>
      <w:r>
        <w:rPr>
          <w:rFonts w:hint="cs"/>
        </w:rPr>
        <w:t xml:space="preserve"> </w:t>
      </w:r>
      <w:r>
        <w:rPr>
          <w:rtl/>
        </w:rPr>
        <w:t>היא</w:t>
      </w:r>
      <w:r>
        <w:rPr>
          <w:rFonts w:hint="cs"/>
        </w:rPr>
        <w:t xml:space="preserve"> </w:t>
      </w:r>
      <w:r>
        <w:rPr>
          <w:rtl/>
        </w:rPr>
        <w:t>מבקשת</w:t>
      </w:r>
      <w:r>
        <w:rPr>
          <w:rFonts w:hint="cs"/>
        </w:rPr>
        <w:t xml:space="preserve"> </w:t>
      </w:r>
      <w:r>
        <w:rPr>
          <w:rtl/>
        </w:rPr>
        <w:t>להנהיג</w:t>
      </w:r>
      <w:r>
        <w:rPr>
          <w:rFonts w:hint="cs"/>
        </w:rPr>
        <w:t xml:space="preserve"> </w:t>
      </w:r>
      <w:r>
        <w:rPr>
          <w:rtl/>
        </w:rPr>
        <w:t>מסגרת</w:t>
      </w:r>
      <w:r>
        <w:rPr>
          <w:rFonts w:hint="cs"/>
        </w:rPr>
        <w:t xml:space="preserve"> </w:t>
      </w:r>
      <w:r>
        <w:rPr>
          <w:rtl/>
        </w:rPr>
        <w:t>נורמטיבית</w:t>
      </w:r>
      <w:r>
        <w:rPr>
          <w:rFonts w:hint="cs"/>
        </w:rPr>
        <w:t xml:space="preserve"> </w:t>
      </w:r>
      <w:r>
        <w:rPr>
          <w:rtl/>
        </w:rPr>
        <w:t>שבה</w:t>
      </w:r>
      <w:r>
        <w:rPr>
          <w:rFonts w:hint="cs"/>
        </w:rPr>
        <w:t xml:space="preserve"> </w:t>
      </w:r>
      <w:r>
        <w:rPr>
          <w:rtl/>
        </w:rPr>
        <w:t>אדם</w:t>
      </w:r>
      <w:r>
        <w:rPr>
          <w:rFonts w:hint="cs"/>
        </w:rPr>
        <w:t xml:space="preserve"> </w:t>
      </w:r>
      <w:r>
        <w:rPr>
          <w:rtl/>
        </w:rPr>
        <w:t xml:space="preserve">לאדם – אדם (ראו א' ברק, שיקול דעת שיפוטי 473(1987)). </w:t>
      </w:r>
    </w:p>
    <w:p w:rsidR="0013254E" w:rsidRDefault="0013254E" w:rsidP="0013254E">
      <w:pPr>
        <w:pStyle w:val="af1"/>
        <w:spacing w:line="360" w:lineRule="auto"/>
        <w:ind w:left="567" w:hanging="567"/>
        <w:jc w:val="both"/>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b/>
          <w:bCs/>
          <w:noProof w:val="0"/>
        </w:rPr>
      </w:pPr>
      <w:r>
        <w:rPr>
          <w:rFonts w:ascii="Arial" w:hAnsi="Arial" w:hint="cs"/>
          <w:noProof w:val="0"/>
          <w:rtl/>
        </w:rPr>
        <w:t xml:space="preserve">את הזכות לפיצוי קובע </w:t>
      </w:r>
      <w:r>
        <w:rPr>
          <w:rFonts w:ascii="Arial" w:hAnsi="Arial"/>
          <w:noProof w:val="0"/>
          <w:rtl/>
        </w:rPr>
        <w:t>חוק החוזים (תרופות בשל הפרת חוזה), תשל"א – 1970</w:t>
      </w:r>
      <w:r w:rsidRPr="000926BC">
        <w:rPr>
          <w:rFonts w:ascii="Arial" w:hAnsi="Arial" w:hint="cs"/>
          <w:noProof w:val="0"/>
          <w:rtl/>
        </w:rPr>
        <w:t>.</w:t>
      </w:r>
    </w:p>
    <w:p w:rsidR="0013254E" w:rsidRDefault="0013254E" w:rsidP="0013254E">
      <w:pPr>
        <w:spacing w:line="360" w:lineRule="auto"/>
        <w:ind w:left="567" w:hanging="567"/>
        <w:jc w:val="both"/>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לעניין הפיצוי, </w:t>
      </w:r>
      <w:r>
        <w:rPr>
          <w:rFonts w:ascii="Arial" w:hAnsi="Arial"/>
          <w:noProof w:val="0"/>
          <w:rtl/>
        </w:rPr>
        <w:t xml:space="preserve">מאליו ברור כי עניין לנו באומדנא ולצורך הפסיקה אין גם צורך בהוכחת נזק ספציפי (וראה: ת"א (ת"א) 2328/99 </w:t>
      </w:r>
      <w:r>
        <w:rPr>
          <w:rFonts w:ascii="Arial" w:hAnsi="Arial"/>
          <w:b/>
          <w:bCs/>
          <w:noProof w:val="0"/>
          <w:rtl/>
        </w:rPr>
        <w:t>טיומקין נ' עיריית תל אביב – יפו</w:t>
      </w:r>
      <w:r>
        <w:rPr>
          <w:rFonts w:ascii="Arial" w:hAnsi="Arial"/>
          <w:noProof w:val="0"/>
          <w:rtl/>
        </w:rPr>
        <w:t xml:space="preserve"> {פמ"מ – 14.05.2000}).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וכבר כתבתי כי </w:t>
      </w:r>
      <w:r>
        <w:rPr>
          <w:rFonts w:ascii="Arial" w:hAnsi="Arial"/>
          <w:noProof w:val="0"/>
          <w:rtl/>
        </w:rPr>
        <w:t xml:space="preserve">לטעמי, פסיקת עשרות אלפי </w:t>
      </w:r>
      <w:r>
        <w:rPr>
          <w:rFonts w:ascii="Arial" w:hAnsi="Arial" w:hint="cs"/>
          <w:noProof w:val="0"/>
          <w:rtl/>
        </w:rPr>
        <w:t xml:space="preserve">שקלים </w:t>
      </w:r>
      <w:r>
        <w:rPr>
          <w:rFonts w:ascii="Arial" w:hAnsi="Arial"/>
          <w:noProof w:val="0"/>
          <w:rtl/>
        </w:rPr>
        <w:t xml:space="preserve">ברף הנמוך, אין בה להרתיע הורים מנכרים, כשחלקם רואה עצמו שרוי ב"מלחמת קודש" ושום דבר שתראה ותוכיח לא ישכנעו כי ההורה האחר אינו "דמוני".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 xml:space="preserve">הורים מנכרים ממהרים להטיח בזולת את ההאשמות האיומות הסובבות סביב מין ואלימות (וראה: בע"מ 6327/08 </w:t>
      </w:r>
      <w:r>
        <w:rPr>
          <w:rFonts w:ascii="Arial" w:hAnsi="Arial"/>
          <w:b/>
          <w:bCs/>
          <w:noProof w:val="0"/>
          <w:rtl/>
        </w:rPr>
        <w:t>פלוני נ' פלונית</w:t>
      </w:r>
      <w:r>
        <w:rPr>
          <w:rFonts w:ascii="Arial" w:hAnsi="Arial"/>
          <w:noProof w:val="0"/>
          <w:rtl/>
        </w:rPr>
        <w:t xml:space="preserve"> {פמ"מ – 10.09.2008}), בכך מקשים הם על זיהוי הורים מסוכנים של ממש.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 xml:space="preserve">אם על-מנת להכחיד אלימות, נפסק פיצוי בסך כ- 500,000 ₪ בבית המשפט המחוזי בירושלים (וראה: עמ"ש (י-ם) 42920-05-13 </w:t>
      </w:r>
      <w:r>
        <w:rPr>
          <w:rFonts w:ascii="Arial" w:hAnsi="Arial"/>
          <w:b/>
          <w:bCs/>
          <w:noProof w:val="0"/>
          <w:rtl/>
        </w:rPr>
        <w:t>פלונית נ' פלוני</w:t>
      </w:r>
      <w:r>
        <w:rPr>
          <w:rFonts w:ascii="Arial" w:hAnsi="Arial"/>
          <w:noProof w:val="0"/>
          <w:rtl/>
        </w:rPr>
        <w:t xml:space="preserve"> {פמ"מ – 03.09.2013}), אז יש צורך בפסיקת סך משמעותי גם כלפי הורה מנכר.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 xml:space="preserve">בשורת פסיקה (וראה: ע"א 4576/08 </w:t>
      </w:r>
      <w:r>
        <w:rPr>
          <w:rFonts w:ascii="Arial" w:hAnsi="Arial"/>
          <w:b/>
          <w:bCs/>
          <w:noProof w:val="0"/>
          <w:rtl/>
        </w:rPr>
        <w:t>בן צבי נ' היס</w:t>
      </w:r>
      <w:r>
        <w:rPr>
          <w:rFonts w:ascii="Arial" w:hAnsi="Arial"/>
          <w:noProof w:val="0"/>
          <w:rtl/>
        </w:rPr>
        <w:t xml:space="preserve"> {פמ"מ – 07.07.2011}) הבנו כולנו כי בדין הישראלי קיים המושג "פיצוי עונשי" או "פיצוי מוגבר". </w:t>
      </w:r>
    </w:p>
    <w:p w:rsidR="0013254E" w:rsidRPr="000926BC" w:rsidRDefault="0013254E" w:rsidP="0013254E">
      <w:pPr>
        <w:pStyle w:val="af1"/>
        <w:ind w:left="567" w:hanging="567"/>
        <w:rPr>
          <w:rFonts w:ascii="Arial" w:hAnsi="Arial"/>
          <w:noProof w:val="0"/>
          <w:rtl/>
        </w:rPr>
      </w:pPr>
    </w:p>
    <w:p w:rsidR="0013254E" w:rsidRPr="00036E4D" w:rsidRDefault="0013254E" w:rsidP="0013254E">
      <w:pPr>
        <w:pStyle w:val="af1"/>
        <w:numPr>
          <w:ilvl w:val="0"/>
          <w:numId w:val="1"/>
        </w:numPr>
        <w:spacing w:line="360" w:lineRule="auto"/>
        <w:ind w:left="567" w:hanging="567"/>
        <w:jc w:val="both"/>
        <w:rPr>
          <w:rFonts w:ascii="Arial" w:hAnsi="Arial"/>
          <w:noProof w:val="0"/>
        </w:rPr>
      </w:pPr>
      <w:r w:rsidRPr="00036E4D">
        <w:rPr>
          <w:rFonts w:ascii="Arial" w:hAnsi="Arial"/>
          <w:noProof w:val="0"/>
          <w:rtl/>
        </w:rPr>
        <w:t xml:space="preserve">מבג"צ 891/05 </w:t>
      </w:r>
      <w:r w:rsidRPr="00036E4D">
        <w:rPr>
          <w:rFonts w:ascii="Arial" w:hAnsi="Arial"/>
          <w:b/>
          <w:bCs/>
          <w:noProof w:val="0"/>
          <w:rtl/>
        </w:rPr>
        <w:t xml:space="preserve">תנובה בע"מ נ' הרשות המוסכמת למתן רשיונות יבוא-משרד התעשיה, </w:t>
      </w:r>
      <w:r w:rsidRPr="00036E4D">
        <w:rPr>
          <w:rFonts w:ascii="Arial" w:hAnsi="Arial" w:hint="cs"/>
          <w:b/>
          <w:bCs/>
          <w:noProof w:val="0"/>
          <w:rtl/>
        </w:rPr>
        <w:t xml:space="preserve">המסחר </w:t>
      </w:r>
      <w:r w:rsidRPr="00036E4D">
        <w:rPr>
          <w:rFonts w:ascii="Arial" w:hAnsi="Arial" w:hint="cs"/>
          <w:noProof w:val="0"/>
          <w:rtl/>
        </w:rPr>
        <w:t>(</w:t>
      </w:r>
      <w:r w:rsidRPr="00036E4D">
        <w:rPr>
          <w:rFonts w:ascii="Arial" w:hAnsi="Arial"/>
          <w:noProof w:val="0"/>
          <w:rtl/>
        </w:rPr>
        <w:t>פמ"מ – 30.06.2005),</w:t>
      </w:r>
      <w:r w:rsidRPr="00036E4D">
        <w:rPr>
          <w:rFonts w:ascii="Arial" w:hAnsi="Arial"/>
          <w:b/>
          <w:bCs/>
          <w:noProof w:val="0"/>
          <w:rtl/>
        </w:rPr>
        <w:t xml:space="preserve"> </w:t>
      </w:r>
      <w:r w:rsidRPr="00036E4D">
        <w:rPr>
          <w:rFonts w:ascii="Arial" w:hAnsi="Arial"/>
          <w:noProof w:val="0"/>
          <w:rtl/>
        </w:rPr>
        <w:t xml:space="preserve">למדנו כי, דרך התנהלות בעל דין, גם בה קריטריון חשוב בפסיקת חיוב כספי.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noProof w:val="0"/>
          <w:rtl/>
        </w:rPr>
        <w:t xml:space="preserve">עוד למדנו כי פיצוי מוגבר משקף גם את סלידת הדין מהתנהגות שיש להסתייג ממנה. </w:t>
      </w:r>
    </w:p>
    <w:p w:rsidR="0013254E" w:rsidRPr="007305D0" w:rsidRDefault="0013254E" w:rsidP="0013254E">
      <w:pPr>
        <w:spacing w:line="360" w:lineRule="auto"/>
        <w:ind w:left="567" w:hanging="567"/>
        <w:jc w:val="both"/>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כאן אוסיף ואציין כי לטעמי, פסיקת פיצוי בסך 15,000 ₪, בגין גרם נתק הורי אין בה די למגר התופעה.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על פסק דיני ב</w:t>
      </w:r>
      <w:r w:rsidRPr="00782325">
        <w:rPr>
          <w:rFonts w:ascii="Arial" w:hAnsi="Arial" w:hint="cs"/>
          <w:b/>
          <w:bCs/>
          <w:noProof w:val="0"/>
          <w:rtl/>
        </w:rPr>
        <w:t>תלה"מ 51455-03-12</w:t>
      </w:r>
      <w:r>
        <w:rPr>
          <w:rFonts w:ascii="Arial" w:hAnsi="Arial" w:hint="cs"/>
          <w:noProof w:val="0"/>
          <w:rtl/>
        </w:rPr>
        <w:t xml:space="preserve"> ממנו הבאתי בהרחבה, ואשר חייב את מנתק הקשר בפיצוי בסך מעל 150,000 ₪, הוגש ערעור (אשר נדחה). </w:t>
      </w:r>
    </w:p>
    <w:p w:rsidR="0013254E" w:rsidRDefault="0013254E" w:rsidP="0013254E">
      <w:pPr>
        <w:pStyle w:val="af1"/>
        <w:ind w:left="567" w:hanging="567"/>
        <w:rPr>
          <w:rFonts w:ascii="Arial" w:hAnsi="Arial"/>
          <w:noProof w:val="0"/>
          <w:rtl/>
        </w:rPr>
      </w:pPr>
    </w:p>
    <w:p w:rsidR="0013254E" w:rsidRPr="00A04786"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בין השאר אמר בית המשפט המחוזי (כבוד השופטת ע. רביד) אגב </w:t>
      </w:r>
      <w:r w:rsidRPr="00782325">
        <w:rPr>
          <w:rFonts w:ascii="Arial" w:hAnsi="Arial" w:hint="cs"/>
          <w:b/>
          <w:bCs/>
          <w:noProof w:val="0"/>
          <w:rtl/>
        </w:rPr>
        <w:t>עמ"ש 63448-06-20</w:t>
      </w:r>
      <w:r>
        <w:rPr>
          <w:rFonts w:ascii="Arial" w:hAnsi="Arial" w:hint="cs"/>
          <w:noProof w:val="0"/>
          <w:rtl/>
        </w:rPr>
        <w:t xml:space="preserve"> (בהרכב כבוד סגן הנשיא ש. שוחט וכבוד השופטים ע. רביד ונ. שילה), כדלקמן:  </w:t>
      </w:r>
    </w:p>
    <w:p w:rsidR="0013254E" w:rsidRDefault="0013254E" w:rsidP="0013254E">
      <w:pPr>
        <w:ind w:left="567" w:hanging="567"/>
        <w:rPr>
          <w:rFonts w:ascii="Arial" w:hAnsi="Arial"/>
          <w:b/>
          <w:bCs/>
          <w:i/>
          <w:iCs/>
          <w:noProof w:val="0"/>
          <w:rtl/>
        </w:rPr>
      </w:pPr>
    </w:p>
    <w:p w:rsidR="0013254E" w:rsidRPr="00036E4D" w:rsidRDefault="0013254E" w:rsidP="0013254E">
      <w:pPr>
        <w:ind w:left="1287" w:firstLine="153"/>
        <w:rPr>
          <w:rFonts w:ascii="Arial" w:hAnsi="Arial"/>
          <w:b/>
          <w:bCs/>
          <w:i/>
          <w:iCs/>
          <w:noProof w:val="0"/>
          <w:rtl/>
        </w:rPr>
      </w:pPr>
      <w:r w:rsidRPr="00036E4D">
        <w:rPr>
          <w:rFonts w:ascii="Arial" w:hAnsi="Arial" w:hint="cs"/>
          <w:b/>
          <w:bCs/>
          <w:i/>
          <w:iCs/>
          <w:noProof w:val="0"/>
          <w:rtl/>
        </w:rPr>
        <w:t>"</w:t>
      </w:r>
    </w:p>
    <w:p w:rsidR="0013254E" w:rsidRDefault="0013254E" w:rsidP="0013254E">
      <w:pPr>
        <w:pStyle w:val="af1"/>
        <w:numPr>
          <w:ilvl w:val="0"/>
          <w:numId w:val="11"/>
        </w:numPr>
        <w:spacing w:before="240" w:after="240" w:line="360" w:lineRule="auto"/>
        <w:jc w:val="both"/>
        <w:rPr>
          <w:rFonts w:ascii="FrankRuehl" w:hAnsi="FrankRuehl" w:cs="FrankRuehl"/>
          <w:b/>
          <w:bCs/>
          <w:i/>
          <w:iCs/>
          <w:noProof w:val="0"/>
          <w:sz w:val="28"/>
          <w:szCs w:val="28"/>
        </w:rPr>
      </w:pPr>
      <w:r w:rsidRPr="00036E4D">
        <w:rPr>
          <w:rFonts w:ascii="FrankRuehl" w:hAnsi="FrankRuehl" w:cs="FrankRuehl"/>
          <w:b/>
          <w:bCs/>
          <w:i/>
          <w:iCs/>
          <w:noProof w:val="0"/>
          <w:sz w:val="28"/>
          <w:szCs w:val="28"/>
          <w:rtl/>
        </w:rPr>
        <w:t>לכך נוסיף את הניכור ההורי שלא יכולה להיות מחלוקת של ממש שהמערערת הסיתה את הקטין כנגד אביו (ראו למשל דברי העובדת הסוציאלית בתסקיר כבר בפברואר 2013) והפיצוי בגין כך יועמד על 30,000 ₪ ובכך הפיצוי הוא על הצד הנמוך. ראו לעניין זה פסק דינו של חברי, השופט נפתלי שילה בתמש (ת"א) 3970-06-15‏ ‏ פלוני נ' פלונית 26.8.2016, אשר פסק סך של 36,000 ₪ וכן ראו סקירת הפסיקה בפסק דינו של סג"נ נמרוד פלקס תמש (י-ם) 48008-03-19‏ ‏ פלוני נ' אלמוני (28.8.2020) בסעיף 68 לפסק הדין.</w:t>
      </w:r>
    </w:p>
    <w:p w:rsidR="0013254E" w:rsidRPr="003F5DB8" w:rsidRDefault="0013254E" w:rsidP="0013254E">
      <w:pPr>
        <w:pStyle w:val="af1"/>
        <w:numPr>
          <w:ilvl w:val="0"/>
          <w:numId w:val="11"/>
        </w:numPr>
        <w:spacing w:before="240" w:after="240" w:line="360" w:lineRule="auto"/>
        <w:jc w:val="both"/>
        <w:rPr>
          <w:rFonts w:ascii="FrankRuehl" w:hAnsi="FrankRuehl" w:cs="FrankRuehl"/>
          <w:b/>
          <w:bCs/>
          <w:i/>
          <w:iCs/>
          <w:noProof w:val="0"/>
          <w:sz w:val="28"/>
          <w:szCs w:val="28"/>
        </w:rPr>
      </w:pPr>
      <w:r w:rsidRPr="003F5DB8">
        <w:rPr>
          <w:rFonts w:ascii="FrankRuehl" w:hAnsi="FrankRuehl" w:cs="FrankRuehl"/>
          <w:b/>
          <w:bCs/>
          <w:i/>
          <w:iCs/>
          <w:noProof w:val="0"/>
          <w:sz w:val="28"/>
          <w:szCs w:val="28"/>
          <w:rtl/>
        </w:rPr>
        <w:lastRenderedPageBreak/>
        <w:t>כאשר מביאים בחשבון את כל העוולות שנעשו למשיב נראה כי אכן הפיצוי שנפסק לו הוא על הצד הנמוך, אך משהמשיב לא הגיש ערעור שכנגד הרי שבוודאי יש מקום לאשר את הסכום במלואו.</w:t>
      </w:r>
    </w:p>
    <w:p w:rsidR="0013254E" w:rsidRPr="00036E4D" w:rsidRDefault="0013254E" w:rsidP="0013254E">
      <w:pPr>
        <w:spacing w:before="240" w:after="240" w:line="360" w:lineRule="auto"/>
        <w:ind w:left="1134" w:firstLine="153"/>
        <w:jc w:val="both"/>
        <w:rPr>
          <w:rFonts w:ascii="FrankRuehl" w:hAnsi="FrankRuehl" w:cs="FrankRuehl"/>
          <w:b/>
          <w:bCs/>
          <w:i/>
          <w:iCs/>
          <w:noProof w:val="0"/>
          <w:sz w:val="28"/>
          <w:szCs w:val="28"/>
        </w:rPr>
      </w:pPr>
      <w:r w:rsidRPr="00036E4D">
        <w:rPr>
          <w:rFonts w:ascii="FrankRuehl" w:hAnsi="FrankRuehl" w:cs="FrankRuehl"/>
          <w:b/>
          <w:bCs/>
          <w:i/>
          <w:iCs/>
          <w:noProof w:val="0"/>
          <w:sz w:val="28"/>
          <w:szCs w:val="28"/>
          <w:rtl/>
        </w:rPr>
        <w:t>סוף דבר</w:t>
      </w:r>
    </w:p>
    <w:p w:rsidR="0013254E" w:rsidRDefault="0013254E" w:rsidP="0013254E">
      <w:pPr>
        <w:pStyle w:val="af1"/>
        <w:numPr>
          <w:ilvl w:val="0"/>
          <w:numId w:val="11"/>
        </w:numPr>
        <w:spacing w:before="240" w:after="240" w:line="360" w:lineRule="auto"/>
        <w:jc w:val="both"/>
        <w:rPr>
          <w:rFonts w:ascii="FrankRuehl" w:hAnsi="FrankRuehl" w:cs="FrankRuehl"/>
          <w:b/>
          <w:bCs/>
          <w:i/>
          <w:iCs/>
          <w:noProof w:val="0"/>
          <w:sz w:val="28"/>
          <w:szCs w:val="28"/>
        </w:rPr>
      </w:pPr>
      <w:r w:rsidRPr="003F5DB8">
        <w:rPr>
          <w:rFonts w:ascii="FrankRuehl" w:hAnsi="FrankRuehl" w:cs="FrankRuehl"/>
          <w:b/>
          <w:bCs/>
          <w:i/>
          <w:iCs/>
          <w:noProof w:val="0"/>
          <w:sz w:val="28"/>
          <w:szCs w:val="28"/>
          <w:rtl/>
        </w:rPr>
        <w:t>הערעור נדחה.</w:t>
      </w:r>
    </w:p>
    <w:p w:rsidR="0013254E" w:rsidRPr="003F5DB8" w:rsidRDefault="0013254E" w:rsidP="0013254E">
      <w:pPr>
        <w:pStyle w:val="af1"/>
        <w:numPr>
          <w:ilvl w:val="0"/>
          <w:numId w:val="11"/>
        </w:numPr>
        <w:spacing w:before="240" w:after="240" w:line="360" w:lineRule="auto"/>
        <w:jc w:val="both"/>
        <w:rPr>
          <w:rFonts w:ascii="FrankRuehl" w:hAnsi="FrankRuehl" w:cs="FrankRuehl"/>
          <w:b/>
          <w:bCs/>
          <w:i/>
          <w:iCs/>
          <w:noProof w:val="0"/>
          <w:sz w:val="28"/>
          <w:szCs w:val="28"/>
        </w:rPr>
      </w:pPr>
      <w:r w:rsidRPr="003F5DB8">
        <w:rPr>
          <w:rFonts w:ascii="FrankRuehl" w:hAnsi="FrankRuehl" w:cs="FrankRuehl"/>
          <w:b/>
          <w:bCs/>
          <w:i/>
          <w:iCs/>
          <w:noProof w:val="0"/>
          <w:sz w:val="28"/>
          <w:szCs w:val="28"/>
          <w:rtl/>
        </w:rPr>
        <w:t>המערערת תשלם הוצאות הערעור בסך של 30,000 ₪.</w:t>
      </w:r>
    </w:p>
    <w:p w:rsidR="0013254E" w:rsidRPr="003F5DB8" w:rsidRDefault="0013254E" w:rsidP="0013254E">
      <w:pPr>
        <w:pStyle w:val="af1"/>
        <w:spacing w:before="240" w:after="240" w:line="360" w:lineRule="auto"/>
        <w:ind w:left="567" w:hanging="567"/>
        <w:jc w:val="both"/>
        <w:rPr>
          <w:rFonts w:ascii="FrankRuehl" w:hAnsi="FrankRuehl" w:cs="FrankRuehl"/>
          <w:b/>
          <w:bCs/>
          <w:i/>
          <w:iCs/>
          <w:noProof w:val="0"/>
          <w:sz w:val="28"/>
          <w:szCs w:val="28"/>
        </w:rPr>
      </w:pPr>
    </w:p>
    <w:p w:rsidR="0013254E" w:rsidRPr="003F5DB8" w:rsidRDefault="0013254E" w:rsidP="0013254E">
      <w:pPr>
        <w:pStyle w:val="af1"/>
        <w:numPr>
          <w:ilvl w:val="0"/>
          <w:numId w:val="1"/>
        </w:numPr>
        <w:spacing w:line="360" w:lineRule="auto"/>
        <w:jc w:val="both"/>
        <w:rPr>
          <w:rFonts w:ascii="Arial" w:hAnsi="Arial"/>
          <w:noProof w:val="0"/>
        </w:rPr>
      </w:pPr>
      <w:r w:rsidRPr="003F5DB8">
        <w:rPr>
          <w:rFonts w:ascii="Arial" w:hAnsi="Arial" w:hint="cs"/>
          <w:noProof w:val="0"/>
          <w:rtl/>
        </w:rPr>
        <w:t xml:space="preserve">ואמר כבוד סגן הנשיא, השופט ש. שוחט, כדלקמן: </w:t>
      </w:r>
    </w:p>
    <w:p w:rsidR="0013254E" w:rsidRPr="003F5DB8" w:rsidRDefault="0013254E" w:rsidP="0013254E">
      <w:pPr>
        <w:ind w:left="567" w:hanging="567"/>
        <w:rPr>
          <w:rFonts w:ascii="Arial" w:hAnsi="Arial"/>
          <w:noProof w:val="0"/>
          <w:rtl/>
        </w:rPr>
      </w:pPr>
    </w:p>
    <w:p w:rsidR="0013254E" w:rsidRDefault="0013254E" w:rsidP="0013254E">
      <w:pPr>
        <w:spacing w:line="360" w:lineRule="auto"/>
        <w:ind w:left="1287" w:firstLine="153"/>
        <w:rPr>
          <w:rFonts w:ascii="FrankRuehl" w:hAnsi="FrankRuehl" w:cs="FrankRuehl"/>
          <w:sz w:val="28"/>
          <w:szCs w:val="28"/>
        </w:rPr>
      </w:pPr>
      <w:r>
        <w:rPr>
          <w:rFonts w:ascii="FrankRuehl" w:hAnsi="FrankRuehl" w:cs="FrankRuehl" w:hint="cs"/>
          <w:sz w:val="28"/>
          <w:szCs w:val="28"/>
          <w:rtl/>
        </w:rPr>
        <w:t>"</w:t>
      </w:r>
      <w:r>
        <w:rPr>
          <w:rFonts w:ascii="FrankRuehl" w:hAnsi="FrankRuehl" w:cs="FrankRuehl"/>
          <w:sz w:val="28"/>
          <w:szCs w:val="28"/>
          <w:rtl/>
        </w:rPr>
        <w:t>אני מסכים לתוצאה של פסק הדין.</w:t>
      </w:r>
    </w:p>
    <w:p w:rsidR="0013254E" w:rsidRDefault="0013254E" w:rsidP="0013254E">
      <w:pPr>
        <w:spacing w:line="360" w:lineRule="auto"/>
        <w:ind w:left="1440"/>
        <w:jc w:val="both"/>
        <w:rPr>
          <w:rFonts w:ascii="FrankRuehl" w:hAnsi="FrankRuehl" w:cs="FrankRuehl"/>
          <w:sz w:val="28"/>
          <w:szCs w:val="28"/>
          <w:rtl/>
        </w:rPr>
      </w:pPr>
      <w:r>
        <w:rPr>
          <w:rFonts w:ascii="FrankRuehl" w:hAnsi="FrankRuehl" w:cs="FrankRuehl"/>
          <w:sz w:val="28"/>
          <w:szCs w:val="28"/>
          <w:rtl/>
        </w:rPr>
        <w:t>אף אני מסכים כי בהתחשב בהיקף העוולות שביצעה המערערת ובחומרתן, הסכום הכולל שנפסק הינו סכום סביר ביותר. אוסיף ואומר, כערכאת ערעור, כי גם אם הסכום היה נפסק בגין הניכור ההורי ולשון הרע בלבד, הייתי מותיר את פסק הדין על כנו.</w:t>
      </w:r>
      <w:r>
        <w:rPr>
          <w:rFonts w:ascii="FrankRuehl" w:hAnsi="FrankRuehl" w:cs="FrankRuehl" w:hint="cs"/>
          <w:sz w:val="28"/>
          <w:szCs w:val="28"/>
          <w:rtl/>
        </w:rPr>
        <w:t>"</w:t>
      </w:r>
    </w:p>
    <w:p w:rsidR="0013254E" w:rsidRPr="00CC620D" w:rsidRDefault="0013254E" w:rsidP="0013254E">
      <w:pPr>
        <w:ind w:left="567" w:hanging="567"/>
        <w:rPr>
          <w:rFonts w:ascii="David" w:hAnsi="David"/>
          <w:rtl/>
        </w:rPr>
      </w:pPr>
    </w:p>
    <w:p w:rsidR="0013254E" w:rsidRPr="00CC620D" w:rsidRDefault="0013254E" w:rsidP="0013254E">
      <w:pPr>
        <w:pStyle w:val="af1"/>
        <w:numPr>
          <w:ilvl w:val="0"/>
          <w:numId w:val="1"/>
        </w:numPr>
        <w:spacing w:line="360" w:lineRule="auto"/>
        <w:ind w:left="567" w:hanging="567"/>
        <w:jc w:val="both"/>
        <w:rPr>
          <w:rFonts w:ascii="FrankRuehl" w:hAnsi="FrankRuehl" w:cs="FrankRuehl"/>
          <w:sz w:val="28"/>
          <w:szCs w:val="28"/>
          <w:rtl/>
        </w:rPr>
      </w:pPr>
      <w:r>
        <w:rPr>
          <w:rFonts w:ascii="David" w:hAnsi="David"/>
          <w:rtl/>
        </w:rPr>
        <w:t>וסיים כבוד השופט נ</w:t>
      </w:r>
      <w:r>
        <w:rPr>
          <w:rFonts w:ascii="David" w:hAnsi="David" w:hint="cs"/>
          <w:rtl/>
        </w:rPr>
        <w:t>.</w:t>
      </w:r>
      <w:r w:rsidRPr="00CC620D">
        <w:rPr>
          <w:rFonts w:ascii="David" w:hAnsi="David"/>
          <w:rtl/>
        </w:rPr>
        <w:t xml:space="preserve"> שילה:</w:t>
      </w:r>
      <w:r w:rsidRPr="00CC620D">
        <w:rPr>
          <w:rFonts w:ascii="FrankRuehl" w:hAnsi="FrankRuehl" w:cs="FrankRuehl"/>
          <w:rtl/>
        </w:rPr>
        <w:t xml:space="preserve"> </w:t>
      </w:r>
    </w:p>
    <w:p w:rsidR="0013254E" w:rsidRPr="003F5DB8" w:rsidRDefault="0013254E" w:rsidP="0013254E">
      <w:pPr>
        <w:spacing w:line="360" w:lineRule="auto"/>
        <w:ind w:left="567" w:hanging="567"/>
        <w:jc w:val="both"/>
        <w:rPr>
          <w:rFonts w:ascii="FrankRuehl" w:hAnsi="FrankRuehl" w:cs="FrankRuehl"/>
          <w:sz w:val="16"/>
          <w:szCs w:val="16"/>
          <w:rtl/>
        </w:rPr>
      </w:pPr>
    </w:p>
    <w:p w:rsidR="0013254E" w:rsidRDefault="0013254E" w:rsidP="0013254E">
      <w:pPr>
        <w:spacing w:line="360" w:lineRule="auto"/>
        <w:ind w:left="1440"/>
        <w:jc w:val="both"/>
        <w:rPr>
          <w:rFonts w:ascii="FrankRuehl" w:hAnsi="FrankRuehl" w:cs="FrankRuehl"/>
          <w:sz w:val="28"/>
          <w:szCs w:val="28"/>
          <w:rtl/>
        </w:rPr>
      </w:pPr>
      <w:r>
        <w:rPr>
          <w:rFonts w:ascii="FrankRuehl" w:hAnsi="FrankRuehl" w:cs="FrankRuehl" w:hint="cs"/>
          <w:sz w:val="28"/>
          <w:szCs w:val="28"/>
          <w:rtl/>
        </w:rPr>
        <w:t>"</w:t>
      </w:r>
      <w:r>
        <w:rPr>
          <w:rFonts w:ascii="FrankRuehl" w:hAnsi="FrankRuehl" w:cs="FrankRuehl"/>
          <w:sz w:val="28"/>
          <w:szCs w:val="28"/>
          <w:rtl/>
        </w:rPr>
        <w:t xml:space="preserve">אני מסכים שיש לדחות את הערעור וזאת אף ללא צורך בכימות סכום הפיצוי בגין כל אחת מהעוולות בנפרד. הסכום הכולל שקבע ביהמ"ש קמא, בהתחשב בהיקף העוולות שביצעה המערערת ובמיוחד חומרתן, הוא סכום סביר ביותר לאור הנזק המשמעותי שגרמה המערערת למשיב. "ממעוף הציפור", פיצוי בסך של 150,000 בגין ניכור הורי מתמשך שהביא לנתק </w:t>
      </w:r>
      <w:r>
        <w:rPr>
          <w:rFonts w:ascii="FrankRuehl" w:hAnsi="FrankRuehl" w:cs="FrankRuehl" w:hint="cs"/>
          <w:sz w:val="28"/>
          <w:szCs w:val="28"/>
          <w:rtl/>
        </w:rPr>
        <w:t xml:space="preserve">בקשר משקף, את חומרת הנזק שגרמה המערערת למשיב." </w:t>
      </w:r>
    </w:p>
    <w:p w:rsidR="0013254E" w:rsidRPr="00782325" w:rsidRDefault="0013254E" w:rsidP="0013254E">
      <w:pPr>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משעמדנו על כללו של דין, אף דחינו את טענותיה החלופיות של הנתבעת באשר להיקף הפיצוי (להבדיל משאלת האשם התורם), הבה נבחן את התנהלות התובע והנתבעת. </w:t>
      </w:r>
    </w:p>
    <w:p w:rsidR="0013254E" w:rsidRDefault="0013254E" w:rsidP="0013254E">
      <w:pPr>
        <w:spacing w:line="360" w:lineRule="auto"/>
        <w:ind w:left="567" w:hanging="567"/>
        <w:jc w:val="both"/>
        <w:rPr>
          <w:rFonts w:ascii="Arial" w:hAnsi="Arial"/>
          <w:noProof w:val="0"/>
          <w:rtl/>
        </w:rPr>
      </w:pPr>
    </w:p>
    <w:p w:rsidR="0013254E" w:rsidRPr="007D79BF" w:rsidRDefault="0013254E" w:rsidP="0013254E">
      <w:pPr>
        <w:spacing w:line="360" w:lineRule="auto"/>
        <w:ind w:left="567" w:hanging="567"/>
        <w:jc w:val="both"/>
        <w:rPr>
          <w:rFonts w:ascii="Arial" w:hAnsi="Arial"/>
          <w:b/>
          <w:bCs/>
          <w:noProof w:val="0"/>
          <w:u w:val="single"/>
        </w:rPr>
      </w:pPr>
      <w:r w:rsidRPr="007D79BF">
        <w:rPr>
          <w:rFonts w:ascii="Arial" w:hAnsi="Arial" w:hint="cs"/>
          <w:b/>
          <w:bCs/>
          <w:noProof w:val="0"/>
          <w:u w:val="single"/>
          <w:rtl/>
        </w:rPr>
        <w:t>המתקשר עם שאינו "רגיל"</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אמרנו כי יחסי משפחה, תהא צורתה אשר תהא, יש בהם מאפיין חוזי. </w:t>
      </w:r>
    </w:p>
    <w:p w:rsidR="0013254E" w:rsidRPr="00287D02" w:rsidRDefault="0013254E" w:rsidP="0013254E">
      <w:pPr>
        <w:pStyle w:val="af1"/>
        <w:spacing w:line="360" w:lineRule="auto"/>
        <w:ind w:left="567" w:hanging="567"/>
        <w:jc w:val="both"/>
        <w:rPr>
          <w:rFonts w:ascii="Arial" w:hAnsi="Arial"/>
          <w:noProof w:val="0"/>
          <w:sz w:val="10"/>
          <w:szCs w:val="10"/>
        </w:rPr>
      </w:pPr>
    </w:p>
    <w:p w:rsidR="0013254E" w:rsidRDefault="0013254E" w:rsidP="00922D94">
      <w:pPr>
        <w:pStyle w:val="af1"/>
        <w:numPr>
          <w:ilvl w:val="0"/>
          <w:numId w:val="1"/>
        </w:numPr>
        <w:spacing w:line="360" w:lineRule="auto"/>
        <w:ind w:left="567" w:hanging="567"/>
        <w:jc w:val="both"/>
        <w:rPr>
          <w:rFonts w:ascii="Arial" w:hAnsi="Arial"/>
          <w:noProof w:val="0"/>
        </w:rPr>
      </w:pPr>
      <w:r>
        <w:rPr>
          <w:rFonts w:ascii="Arial" w:hAnsi="Arial" w:hint="cs"/>
          <w:noProof w:val="0"/>
          <w:rtl/>
        </w:rPr>
        <w:lastRenderedPageBreak/>
        <w:t xml:space="preserve">כאשר יודע אדם (כפי התובע) שהוא נקשר במערכת בינאישית עם אזרח זר שאין לו שורשים בישראל ומועסק על ידי גורם זר, צריך היה הוא לצפות כי הנתבעת (אזרחית </w:t>
      </w:r>
      <w:r w:rsidR="00922D94">
        <w:rPr>
          <w:rFonts w:ascii="Arial" w:hAnsi="Arial" w:hint="cs"/>
          <w:noProof w:val="0"/>
          <w:rtl/>
        </w:rPr>
        <w:t>...</w:t>
      </w:r>
      <w:r>
        <w:rPr>
          <w:rFonts w:ascii="Arial" w:hAnsi="Arial" w:hint="cs"/>
          <w:noProof w:val="0"/>
          <w:rtl/>
        </w:rPr>
        <w:t xml:space="preserve"> היכולה, כפי שעשתה, לעבוד במקומות שונים בעולם) תרצה לעזוב את ישראל, שהרי דבר לא קושר אותה אליה. </w:t>
      </w:r>
    </w:p>
    <w:p w:rsidR="0013254E" w:rsidRPr="007D79B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כאמור, ביתר שאת נכונים הדברים במערכת זוגית קצרה, ללא נישואין ובהינתן מעסיק זר לנתבעת. </w:t>
      </w:r>
    </w:p>
    <w:p w:rsidR="0013254E" w:rsidRPr="007D79B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קיומו של ילד משותף לצדדים אינו "צו מאסר" בישראל לאיש מהוריו (וראה: רע"א 7208/93 </w:t>
      </w:r>
      <w:r w:rsidRPr="00BE6FA1">
        <w:rPr>
          <w:rFonts w:ascii="Arial" w:hAnsi="Arial" w:hint="cs"/>
          <w:b/>
          <w:bCs/>
          <w:noProof w:val="0"/>
          <w:rtl/>
        </w:rPr>
        <w:t>וייסגלס נ' וייסגלס</w:t>
      </w:r>
      <w:r>
        <w:rPr>
          <w:rFonts w:ascii="Arial" w:hAnsi="Arial" w:hint="cs"/>
          <w:noProof w:val="0"/>
          <w:rtl/>
        </w:rPr>
        <w:t xml:space="preserve">, מח(4) 529 {פמ"מ </w:t>
      </w:r>
      <w:r>
        <w:rPr>
          <w:rFonts w:ascii="Arial" w:hAnsi="Arial"/>
          <w:noProof w:val="0"/>
          <w:rtl/>
        </w:rPr>
        <w:t>–</w:t>
      </w:r>
      <w:r>
        <w:rPr>
          <w:rFonts w:ascii="Arial" w:hAnsi="Arial" w:hint="cs"/>
          <w:noProof w:val="0"/>
          <w:rtl/>
        </w:rPr>
        <w:t xml:space="preserve"> 02.02.1994}). </w:t>
      </w:r>
    </w:p>
    <w:p w:rsidR="0013254E" w:rsidRPr="007D79B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במילים אחרות: צריך היה התובע מראש לצפות כי בהסתיים המערכת הזוגית יצטרכו קשריו עם יוצא חלציו להתגבר על פער גיאוגרפי ותרבותי לא פשוט, ואין הדבר דומה לזוג שמרכז חיי שניהם בישראל. </w:t>
      </w:r>
    </w:p>
    <w:p w:rsidR="0013254E" w:rsidRPr="007D79BF" w:rsidRDefault="0013254E" w:rsidP="0013254E">
      <w:pPr>
        <w:pStyle w:val="af1"/>
        <w:ind w:left="567" w:hanging="567"/>
        <w:rPr>
          <w:rFonts w:ascii="Arial" w:hAnsi="Arial"/>
          <w:noProof w:val="0"/>
          <w:rtl/>
        </w:rPr>
      </w:pPr>
    </w:p>
    <w:p w:rsidR="0013254E" w:rsidRPr="00922D94" w:rsidRDefault="0013254E" w:rsidP="00922D94">
      <w:pPr>
        <w:pStyle w:val="af1"/>
        <w:numPr>
          <w:ilvl w:val="0"/>
          <w:numId w:val="1"/>
        </w:numPr>
        <w:spacing w:line="360" w:lineRule="auto"/>
        <w:ind w:left="567" w:hanging="567"/>
        <w:jc w:val="both"/>
        <w:rPr>
          <w:rFonts w:ascii="Arial" w:hAnsi="Arial"/>
          <w:noProof w:val="0"/>
          <w:rtl/>
        </w:rPr>
      </w:pPr>
      <w:r>
        <w:rPr>
          <w:rFonts w:ascii="Arial" w:hAnsi="Arial" w:hint="cs"/>
          <w:noProof w:val="0"/>
          <w:rtl/>
        </w:rPr>
        <w:t>אמור מעתה, כי עצם עזיבת הנתבעת את ישראל אינה עוולה ואינה הפרה ולו בשל היעדר גמירות דעת לעניין שהיית הנתבעת בישראל.</w:t>
      </w:r>
    </w:p>
    <w:p w:rsidR="0013254E" w:rsidRPr="007D79BF" w:rsidRDefault="0013254E" w:rsidP="0013254E">
      <w:pPr>
        <w:spacing w:line="360" w:lineRule="auto"/>
        <w:ind w:left="567" w:hanging="567"/>
        <w:rPr>
          <w:rFonts w:ascii="Arial" w:hAnsi="Arial"/>
          <w:b/>
          <w:bCs/>
          <w:noProof w:val="0"/>
          <w:u w:val="single"/>
          <w:rtl/>
        </w:rPr>
      </w:pPr>
      <w:r w:rsidRPr="007D79BF">
        <w:rPr>
          <w:rFonts w:ascii="Arial" w:hAnsi="Arial" w:hint="cs"/>
          <w:b/>
          <w:bCs/>
          <w:noProof w:val="0"/>
          <w:u w:val="single"/>
          <w:rtl/>
        </w:rPr>
        <w:t>על הכרונולוגי</w:t>
      </w:r>
      <w:r w:rsidRPr="007D79BF">
        <w:rPr>
          <w:rFonts w:ascii="Arial" w:hAnsi="Arial" w:hint="eastAsia"/>
          <w:b/>
          <w:bCs/>
          <w:noProof w:val="0"/>
          <w:u w:val="single"/>
          <w:rtl/>
        </w:rPr>
        <w:t>ה</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לשיטת התובע בסיכומיו, נפרדו הצדדים, אשר לא נישאו, עוד בטרם גילתה הנתבעת כי היא </w:t>
      </w:r>
      <w:r w:rsidRPr="00365227">
        <w:rPr>
          <w:rFonts w:ascii="Arial" w:hAnsi="Arial"/>
          <w:noProof w:val="0"/>
          <w:rtl/>
        </w:rPr>
        <w:t>הָרָה</w:t>
      </w:r>
      <w:r>
        <w:rPr>
          <w:rFonts w:ascii="Arial" w:hAnsi="Arial" w:hint="cs"/>
          <w:noProof w:val="0"/>
          <w:rtl/>
        </w:rPr>
        <w:t xml:space="preserve">. </w:t>
      </w:r>
    </w:p>
    <w:p w:rsidR="0013254E" w:rsidRPr="00365227" w:rsidRDefault="0013254E" w:rsidP="0013254E">
      <w:pPr>
        <w:pStyle w:val="af1"/>
        <w:spacing w:line="360" w:lineRule="auto"/>
        <w:ind w:left="567" w:hanging="567"/>
        <w:jc w:val="both"/>
        <w:rPr>
          <w:rFonts w:ascii="Arial" w:hAnsi="Arial"/>
          <w:noProof w:val="0"/>
          <w:sz w:val="14"/>
          <w:szCs w:val="14"/>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בנם של הצדדים נולד ביום </w:t>
      </w:r>
      <w:r w:rsidR="003910EA">
        <w:rPr>
          <w:rFonts w:ascii="Arial" w:hAnsi="Arial" w:hint="cs"/>
          <w:noProof w:val="0"/>
          <w:rtl/>
        </w:rPr>
        <w:t>2013...</w:t>
      </w:r>
      <w:r>
        <w:rPr>
          <w:rFonts w:ascii="Arial" w:hAnsi="Arial"/>
          <w:noProof w:val="0"/>
          <w:rtl/>
        </w:rPr>
        <w:t>–</w:t>
      </w:r>
      <w:r>
        <w:rPr>
          <w:rFonts w:ascii="Arial" w:hAnsi="Arial" w:hint="cs"/>
          <w:noProof w:val="0"/>
          <w:rtl/>
        </w:rPr>
        <w:t xml:space="preserve"> כבר אז מערכת יחסי הצדדים רעה מאוד היתה. </w:t>
      </w:r>
    </w:p>
    <w:p w:rsidR="0013254E" w:rsidRPr="0036522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רק בחודש ספטמבר 2013 ביקש התובע לעכב את יציאת הנתבעת והקטין מישראל, אך איחר את המועד וזו עזבה עם הקטין את הארץ קודם לכן. </w:t>
      </w:r>
    </w:p>
    <w:p w:rsidR="0013254E" w:rsidRPr="0036522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ביום 08.09.2013, לאמור פרק של ארבעה חודשים לאחר שנולד הקטין, עתר התובע להכרה לעניין אבהותו; ביום 09.09.2014 ניתן פסק דין הקובע את אבהותו של התובע, שעה שבלשון המעטה, לא מיהרה הנתבעת לשתף פעולה. </w:t>
      </w:r>
    </w:p>
    <w:p w:rsidR="0013254E" w:rsidRPr="0036522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ביום 10.02.2014 עתר התובע על-פי אמנת האג (השבת ילדים חטופים) להשבת הקטין לישראל (</w:t>
      </w:r>
      <w:r w:rsidRPr="00903CBB">
        <w:rPr>
          <w:rFonts w:ascii="Arial" w:hAnsi="Arial" w:hint="cs"/>
          <w:b/>
          <w:bCs/>
          <w:noProof w:val="0"/>
          <w:rtl/>
        </w:rPr>
        <w:t xml:space="preserve">תמ"ש </w:t>
      </w:r>
      <w:r w:rsidRPr="002B6C3F">
        <w:rPr>
          <w:rFonts w:ascii="Arial" w:hAnsi="Arial" w:hint="cs"/>
          <w:noProof w:val="0"/>
          <w:rtl/>
        </w:rPr>
        <w:t>19556-02-14</w:t>
      </w:r>
      <w:r>
        <w:rPr>
          <w:rFonts w:ascii="Arial" w:hAnsi="Arial" w:hint="cs"/>
          <w:noProof w:val="0"/>
          <w:rtl/>
        </w:rPr>
        <w:t xml:space="preserve">). תובענה זו נמחקה בהסכמת התובע, בפסק דין מיום 02.03.2014, ומן הנימוקים הרשומים בפסק הדין שם. </w:t>
      </w:r>
    </w:p>
    <w:p w:rsidR="0013254E" w:rsidRPr="00903CB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ביום 31.05.2016 עתרה הנתבעת ל</w:t>
      </w:r>
      <w:r w:rsidR="003910EA">
        <w:rPr>
          <w:rFonts w:ascii="Arial" w:hAnsi="Arial" w:hint="cs"/>
          <w:noProof w:val="0"/>
          <w:rtl/>
        </w:rPr>
        <w:t>אכוף פסק דין למזונות שניתן ב...</w:t>
      </w:r>
      <w:r>
        <w:rPr>
          <w:rFonts w:ascii="Arial" w:hAnsi="Arial" w:hint="cs"/>
          <w:noProof w:val="0"/>
          <w:rtl/>
        </w:rPr>
        <w:t xml:space="preserve"> (</w:t>
      </w:r>
      <w:r w:rsidRPr="002B6C3F">
        <w:rPr>
          <w:rFonts w:ascii="Arial" w:hAnsi="Arial" w:hint="cs"/>
          <w:noProof w:val="0"/>
          <w:rtl/>
        </w:rPr>
        <w:t>אפ"ח</w:t>
      </w:r>
      <w:r w:rsidRPr="00903CBB">
        <w:rPr>
          <w:rFonts w:ascii="Arial" w:hAnsi="Arial" w:hint="cs"/>
          <w:b/>
          <w:bCs/>
          <w:noProof w:val="0"/>
          <w:rtl/>
        </w:rPr>
        <w:t xml:space="preserve"> </w:t>
      </w:r>
      <w:r w:rsidRPr="002B6C3F">
        <w:rPr>
          <w:rFonts w:ascii="Arial" w:hAnsi="Arial" w:hint="cs"/>
          <w:noProof w:val="0"/>
          <w:rtl/>
        </w:rPr>
        <w:t>63732-05-16</w:t>
      </w:r>
      <w:r>
        <w:rPr>
          <w:rFonts w:ascii="Arial" w:hAnsi="Arial" w:hint="cs"/>
          <w:noProof w:val="0"/>
          <w:rtl/>
        </w:rPr>
        <w:t>). תובענה זו נמחקה, בהסכמה, ביום 11.08.2016.</w:t>
      </w:r>
    </w:p>
    <w:p w:rsidR="0013254E" w:rsidRPr="00903CB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lastRenderedPageBreak/>
        <w:t xml:space="preserve">ביום 25.09.2019 הגיש התובע תביעה כספית דומה במהותה לזו שבכאן </w:t>
      </w:r>
      <w:r>
        <w:rPr>
          <w:rFonts w:ascii="Arial" w:hAnsi="Arial"/>
          <w:noProof w:val="0"/>
          <w:rtl/>
        </w:rPr>
        <w:t>–</w:t>
      </w:r>
      <w:r>
        <w:rPr>
          <w:rFonts w:ascii="Arial" w:hAnsi="Arial" w:hint="cs"/>
          <w:noProof w:val="0"/>
          <w:rtl/>
        </w:rPr>
        <w:t xml:space="preserve"> תובענה זו נמחקה על-ידי התובע ביום 05.03.2020, בשל פגמים שונים שנפלו בה. </w:t>
      </w:r>
    </w:p>
    <w:p w:rsidR="0013254E" w:rsidRPr="00903CB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בחודש יוני 2020 הוגשה, כאמור, התובענה שבכאן. </w:t>
      </w:r>
    </w:p>
    <w:p w:rsidR="0013254E" w:rsidRPr="00903CBB"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מכאן גם מובן מאליו שהשאלה האם פעל התובע ומיצה יכולותיו לוודא קשר עם בנו,</w:t>
      </w:r>
      <w:r w:rsidR="003910EA">
        <w:rPr>
          <w:rFonts w:ascii="Arial" w:hAnsi="Arial" w:hint="cs"/>
          <w:noProof w:val="0"/>
          <w:rtl/>
        </w:rPr>
        <w:t xml:space="preserve"> במסגרת מערכת המשפט שב...</w:t>
      </w:r>
      <w:r>
        <w:rPr>
          <w:rFonts w:ascii="Arial" w:hAnsi="Arial" w:hint="cs"/>
          <w:noProof w:val="0"/>
          <w:rtl/>
        </w:rPr>
        <w:t xml:space="preserve">, היא מערכת המשפט הרלוונטית, שמא מנצל הוא את האירועים לצורך קבלת פיצוי כספי. </w:t>
      </w:r>
    </w:p>
    <w:p w:rsidR="0013254E" w:rsidRPr="00903CBB" w:rsidRDefault="0013254E" w:rsidP="0013254E">
      <w:pPr>
        <w:pStyle w:val="af1"/>
        <w:ind w:left="567" w:hanging="567"/>
        <w:rPr>
          <w:rFonts w:ascii="Arial" w:hAnsi="Arial"/>
          <w:noProof w:val="0"/>
          <w:rtl/>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אין עורר כי פסק הדין אשר העניק לנתבעת את המשמורת בקטין ניתן במעמד צד אחד, וכי גם ביום 21.01.2016 ניתן ב</w:t>
      </w:r>
      <w:r w:rsidR="003910EA">
        <w:rPr>
          <w:rFonts w:ascii="Arial" w:hAnsi="Arial" w:hint="cs"/>
          <w:noProof w:val="0"/>
          <w:rtl/>
        </w:rPr>
        <w:t>...</w:t>
      </w:r>
      <w:r>
        <w:rPr>
          <w:rFonts w:ascii="Arial" w:hAnsi="Arial" w:hint="cs"/>
          <w:noProof w:val="0"/>
          <w:rtl/>
        </w:rPr>
        <w:t xml:space="preserve"> ש</w:t>
      </w:r>
      <w:r w:rsidR="003910EA">
        <w:rPr>
          <w:rFonts w:ascii="Arial" w:hAnsi="Arial" w:hint="cs"/>
          <w:noProof w:val="0"/>
          <w:rtl/>
        </w:rPr>
        <w:t>...</w:t>
      </w:r>
      <w:r>
        <w:rPr>
          <w:rFonts w:ascii="Arial" w:hAnsi="Arial" w:hint="cs"/>
          <w:noProof w:val="0"/>
          <w:rtl/>
        </w:rPr>
        <w:t xml:space="preserve"> פסק דין למזונות הקטין. </w:t>
      </w:r>
    </w:p>
    <w:p w:rsidR="0013254E" w:rsidRPr="009D25A4" w:rsidRDefault="0013254E" w:rsidP="0013254E">
      <w:pPr>
        <w:pStyle w:val="af1"/>
        <w:ind w:left="567" w:hanging="567"/>
        <w:rPr>
          <w:rFonts w:ascii="Arial" w:hAnsi="Arial"/>
          <w:noProof w:val="0"/>
          <w:rtl/>
        </w:rPr>
      </w:pPr>
    </w:p>
    <w:p w:rsidR="0013254E" w:rsidRDefault="0013254E" w:rsidP="00922D94">
      <w:pPr>
        <w:pStyle w:val="af1"/>
        <w:numPr>
          <w:ilvl w:val="0"/>
          <w:numId w:val="1"/>
        </w:numPr>
        <w:spacing w:line="360" w:lineRule="auto"/>
        <w:ind w:left="567" w:hanging="567"/>
        <w:jc w:val="both"/>
        <w:rPr>
          <w:rFonts w:ascii="Arial" w:hAnsi="Arial"/>
          <w:noProof w:val="0"/>
        </w:rPr>
      </w:pPr>
      <w:r>
        <w:rPr>
          <w:rFonts w:ascii="Arial" w:hAnsi="Arial" w:hint="cs"/>
          <w:noProof w:val="0"/>
          <w:rtl/>
        </w:rPr>
        <w:t>בחודש דצמבר 2017 עתר התובע ב</w:t>
      </w:r>
      <w:r w:rsidR="00922D94">
        <w:rPr>
          <w:rFonts w:ascii="Arial" w:hAnsi="Arial" w:hint="cs"/>
          <w:noProof w:val="0"/>
          <w:rtl/>
        </w:rPr>
        <w:t>...</w:t>
      </w:r>
      <w:r>
        <w:rPr>
          <w:rFonts w:ascii="Arial" w:hAnsi="Arial" w:hint="cs"/>
          <w:noProof w:val="0"/>
          <w:rtl/>
        </w:rPr>
        <w:t xml:space="preserve">לעניין המשמורת, וביום 02.07.2018 ניתן בתביעתו פסק דין אשר קבע לתובע זמני שהות. </w:t>
      </w:r>
    </w:p>
    <w:p w:rsidR="0013254E" w:rsidRPr="009D25A4" w:rsidRDefault="0013254E" w:rsidP="0013254E">
      <w:pPr>
        <w:pStyle w:val="af1"/>
        <w:ind w:left="567" w:hanging="567"/>
        <w:rPr>
          <w:rFonts w:ascii="Arial" w:hAnsi="Arial"/>
          <w:noProof w:val="0"/>
          <w:rtl/>
        </w:rPr>
      </w:pPr>
    </w:p>
    <w:p w:rsidR="0013254E" w:rsidRPr="00222F87" w:rsidRDefault="0013254E" w:rsidP="00922D94">
      <w:pPr>
        <w:pStyle w:val="af1"/>
        <w:numPr>
          <w:ilvl w:val="0"/>
          <w:numId w:val="1"/>
        </w:numPr>
        <w:spacing w:line="360" w:lineRule="auto"/>
        <w:ind w:left="567" w:hanging="567"/>
        <w:jc w:val="both"/>
        <w:rPr>
          <w:rFonts w:ascii="Arial" w:hAnsi="Arial"/>
          <w:noProof w:val="0"/>
        </w:rPr>
      </w:pPr>
      <w:r w:rsidRPr="00222F87">
        <w:rPr>
          <w:rFonts w:ascii="Arial" w:hAnsi="Arial" w:hint="cs"/>
          <w:noProof w:val="0"/>
          <w:rtl/>
        </w:rPr>
        <w:t>ביום 30.06.2020 נקבעו או עודכנו על-ידי בית המשפט ב</w:t>
      </w:r>
      <w:r w:rsidR="00922D94">
        <w:rPr>
          <w:rFonts w:ascii="Arial" w:hAnsi="Arial" w:hint="cs"/>
          <w:noProof w:val="0"/>
          <w:rtl/>
        </w:rPr>
        <w:t>...</w:t>
      </w:r>
      <w:r w:rsidRPr="00222F87">
        <w:rPr>
          <w:rFonts w:ascii="Arial" w:hAnsi="Arial" w:hint="cs"/>
          <w:noProof w:val="0"/>
          <w:rtl/>
        </w:rPr>
        <w:t xml:space="preserve"> זמני השהות, ובשל הנתק בקשר נקבע כי מרכז קשר ב</w:t>
      </w:r>
      <w:r w:rsidR="003910EA">
        <w:rPr>
          <w:rFonts w:ascii="Arial" w:hAnsi="Arial" w:hint="cs"/>
          <w:noProof w:val="0"/>
          <w:rtl/>
        </w:rPr>
        <w:t>...</w:t>
      </w:r>
      <w:r w:rsidRPr="00222F87">
        <w:rPr>
          <w:rFonts w:ascii="Arial" w:hAnsi="Arial" w:hint="cs"/>
          <w:noProof w:val="0"/>
          <w:rtl/>
        </w:rPr>
        <w:t xml:space="preserve"> יסייע. אולם, התובע לא שיתף פעולה עם מרכז הקשר, זאת עד היום. </w:t>
      </w:r>
    </w:p>
    <w:p w:rsidR="0013254E" w:rsidRPr="00222F87"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מאליו ברור כי הכרונולוגיה לעיל מאפשרת לנתבעת לומר כי התובע לוקה בכמה: </w:t>
      </w:r>
    </w:p>
    <w:p w:rsidR="0013254E" w:rsidRPr="00287D02" w:rsidRDefault="0013254E" w:rsidP="0013254E">
      <w:pPr>
        <w:pStyle w:val="af1"/>
        <w:ind w:left="567" w:hanging="567"/>
        <w:rPr>
          <w:rFonts w:ascii="Arial" w:hAnsi="Arial"/>
          <w:noProof w:val="0"/>
          <w:sz w:val="20"/>
          <w:szCs w:val="20"/>
          <w:rtl/>
        </w:rPr>
      </w:pPr>
    </w:p>
    <w:p w:rsidR="0013254E" w:rsidRDefault="0013254E" w:rsidP="0013254E">
      <w:pPr>
        <w:pStyle w:val="af1"/>
        <w:numPr>
          <w:ilvl w:val="0"/>
          <w:numId w:val="3"/>
        </w:numPr>
        <w:spacing w:line="360" w:lineRule="auto"/>
        <w:ind w:left="992" w:hanging="425"/>
        <w:jc w:val="both"/>
        <w:rPr>
          <w:rFonts w:ascii="Arial" w:hAnsi="Arial"/>
          <w:noProof w:val="0"/>
        </w:rPr>
      </w:pPr>
      <w:r>
        <w:rPr>
          <w:rFonts w:ascii="Arial" w:hAnsi="Arial" w:hint="cs"/>
          <w:noProof w:val="0"/>
          <w:rtl/>
        </w:rPr>
        <w:t xml:space="preserve">בהמתנה ממושכת, בחוסר מעש בזמן אמיתי ואי מיצוי האפשרויות שניתנו לו, שהיה בהם להעמיק את הנתק. </w:t>
      </w:r>
    </w:p>
    <w:p w:rsidR="0013254E" w:rsidRPr="00287D02" w:rsidRDefault="0013254E" w:rsidP="0013254E">
      <w:pPr>
        <w:pStyle w:val="af1"/>
        <w:numPr>
          <w:ilvl w:val="0"/>
          <w:numId w:val="3"/>
        </w:numPr>
        <w:spacing w:line="360" w:lineRule="auto"/>
        <w:ind w:left="992" w:hanging="425"/>
        <w:jc w:val="both"/>
        <w:rPr>
          <w:rFonts w:ascii="Arial" w:hAnsi="Arial"/>
          <w:noProof w:val="0"/>
        </w:rPr>
      </w:pPr>
      <w:r w:rsidRPr="00287D02">
        <w:rPr>
          <w:rFonts w:ascii="Arial" w:hAnsi="Arial" w:hint="cs"/>
          <w:noProof w:val="0"/>
          <w:rtl/>
        </w:rPr>
        <w:t xml:space="preserve">בהתעלמות מן הצורך בהליך מלווה מקצועית, בהינתן גילו הצעיר של הילד, פערי שפה, תרבות וחוסר היכרות מוקדמת. </w:t>
      </w:r>
    </w:p>
    <w:p w:rsidR="0013254E" w:rsidRPr="00AB5DF5" w:rsidRDefault="0013254E" w:rsidP="0013254E">
      <w:pPr>
        <w:ind w:left="567" w:hanging="567"/>
        <w:rPr>
          <w:rFonts w:ascii="Arial" w:hAnsi="Arial"/>
          <w:noProof w:val="0"/>
          <w:rtl/>
        </w:rPr>
      </w:pPr>
    </w:p>
    <w:p w:rsidR="0013254E" w:rsidRPr="00222F87" w:rsidRDefault="0013254E" w:rsidP="0013254E">
      <w:pPr>
        <w:spacing w:line="360" w:lineRule="auto"/>
        <w:ind w:left="567" w:hanging="567"/>
        <w:rPr>
          <w:rFonts w:ascii="Arial" w:hAnsi="Arial"/>
          <w:b/>
          <w:bCs/>
          <w:noProof w:val="0"/>
          <w:u w:val="single"/>
          <w:rtl/>
        </w:rPr>
      </w:pPr>
      <w:r w:rsidRPr="00222F87">
        <w:rPr>
          <w:rFonts w:ascii="Arial" w:hAnsi="Arial" w:hint="cs"/>
          <w:b/>
          <w:bCs/>
          <w:noProof w:val="0"/>
          <w:u w:val="single"/>
          <w:rtl/>
        </w:rPr>
        <w:t>חקירת התובע</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כעולה מחקירת התובע (עמודים 14-16 לפרוטוקול מיום 05.07.2021) ברור שבין השנים 2014-2017 לא עשה התובע דבר של ממש לחידוש הקשר, כך גם בשלוש החודשים שחלפו מיום לידת הקטין. משלוח דואר אלקטרוני ספורדי מדי כמה חודשים אינו אלא יציאה מידי חובה וכשברור שלא תניב תוצאות. </w:t>
      </w:r>
    </w:p>
    <w:p w:rsidR="0013254E" w:rsidRDefault="0013254E" w:rsidP="0013254E">
      <w:pPr>
        <w:pStyle w:val="af1"/>
        <w:spacing w:line="360" w:lineRule="auto"/>
        <w:ind w:left="567" w:hanging="567"/>
        <w:jc w:val="both"/>
        <w:rPr>
          <w:rFonts w:ascii="Arial" w:hAnsi="Arial"/>
          <w:noProof w:val="0"/>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עיון מעמוד 16 ואילך לפרוטוקול שם יגלה גם כי התובע לא מילא אחר פסק הדין ה</w:t>
      </w:r>
      <w:r w:rsidR="003910EA">
        <w:rPr>
          <w:rFonts w:ascii="Arial" w:hAnsi="Arial" w:hint="cs"/>
          <w:noProof w:val="0"/>
          <w:rtl/>
        </w:rPr>
        <w:t>...</w:t>
      </w:r>
      <w:r>
        <w:rPr>
          <w:rFonts w:ascii="Arial" w:hAnsi="Arial" w:hint="cs"/>
          <w:noProof w:val="0"/>
          <w:rtl/>
        </w:rPr>
        <w:t xml:space="preserve"> לעניין מזונות (בנימוק המוזר כי ל"נתבעת יש די כסף"), גם לא לעניין רכישת כרטיסי טיסה.</w:t>
      </w:r>
    </w:p>
    <w:p w:rsidR="0013254E" w:rsidRPr="00AB5DF5"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אין עורר כי בנימוק של צרכי עבודה וקשיי נהיגה גם לא ניצל התובע את מלוא 14 הימים שהוקנו לו, עת הגיעה הנתבעת עם הקטין לישראל, בחודש יולי 2018. </w:t>
      </w:r>
    </w:p>
    <w:p w:rsidR="0013254E" w:rsidRPr="00AB5DF5"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lastRenderedPageBreak/>
        <w:t xml:space="preserve">גם את ביקור פברואר 2019 מימנה הנתבעת במקום התובע, ואשר נועד להימשך 7 ימים, לא ניצל התובע כפי עדותו (עמוד 18), אלא לשעות ספורות. </w:t>
      </w:r>
    </w:p>
    <w:p w:rsidR="0013254E" w:rsidRPr="008827DA" w:rsidRDefault="0013254E" w:rsidP="0013254E">
      <w:pPr>
        <w:pStyle w:val="af1"/>
        <w:ind w:left="567" w:hanging="567"/>
        <w:rPr>
          <w:rFonts w:ascii="Arial" w:hAnsi="Arial"/>
          <w:noProof w:val="0"/>
          <w:rtl/>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ביקור אפריל 2019 ב</w:t>
      </w:r>
      <w:r w:rsidR="003910EA">
        <w:rPr>
          <w:rFonts w:ascii="Arial" w:hAnsi="Arial" w:hint="cs"/>
          <w:noProof w:val="0"/>
          <w:rtl/>
        </w:rPr>
        <w:t>...</w:t>
      </w:r>
      <w:r>
        <w:rPr>
          <w:rFonts w:ascii="Arial" w:hAnsi="Arial" w:hint="cs"/>
          <w:noProof w:val="0"/>
          <w:rtl/>
        </w:rPr>
        <w:t xml:space="preserve">, כפי עדות התובע (עמוד 19) צומצם על-ידו בשל צרכי עבודה, למשך שלושה ימים בלבד. </w:t>
      </w:r>
    </w:p>
    <w:p w:rsidR="0013254E" w:rsidRPr="008827DA" w:rsidRDefault="0013254E" w:rsidP="0013254E">
      <w:pPr>
        <w:pStyle w:val="af1"/>
        <w:ind w:left="567" w:hanging="567"/>
        <w:rPr>
          <w:rFonts w:ascii="Arial" w:hAnsi="Arial"/>
          <w:noProof w:val="0"/>
          <w:rtl/>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אין עורר שכבשל סירוב הבן ללכת עם התובע, ב</w:t>
      </w:r>
      <w:r w:rsidR="003910EA">
        <w:rPr>
          <w:rFonts w:ascii="Arial" w:hAnsi="Arial" w:hint="cs"/>
          <w:noProof w:val="0"/>
          <w:rtl/>
        </w:rPr>
        <w:t>...</w:t>
      </w:r>
      <w:r>
        <w:rPr>
          <w:rFonts w:ascii="Arial" w:hAnsi="Arial" w:hint="cs"/>
          <w:noProof w:val="0"/>
          <w:rtl/>
        </w:rPr>
        <w:t xml:space="preserve">, סירב האב להזמנת האם לקיום הביקור בביתה (עמוד 19, שם). </w:t>
      </w:r>
    </w:p>
    <w:p w:rsidR="0013254E" w:rsidRPr="00405AF4" w:rsidRDefault="0013254E" w:rsidP="0013254E">
      <w:pPr>
        <w:pStyle w:val="af1"/>
        <w:ind w:left="567" w:hanging="567"/>
        <w:rPr>
          <w:rFonts w:ascii="Arial" w:hAnsi="Arial"/>
          <w:noProof w:val="0"/>
          <w:rtl/>
        </w:rPr>
      </w:pP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משביקש בית המשפט ב</w:t>
      </w:r>
      <w:r w:rsidR="003910EA">
        <w:rPr>
          <w:rFonts w:ascii="Arial" w:hAnsi="Arial" w:hint="cs"/>
          <w:noProof w:val="0"/>
          <w:rtl/>
        </w:rPr>
        <w:t>...</w:t>
      </w:r>
      <w:r>
        <w:rPr>
          <w:rFonts w:ascii="Arial" w:hAnsi="Arial" w:hint="cs"/>
          <w:noProof w:val="0"/>
          <w:rtl/>
        </w:rPr>
        <w:t xml:space="preserve"> לבטל את "הפרעות הנתבעת" על-ידי שימוש במרכז הקשר, לא שיתף התובע פעולה (עמוד 21) ואף אמר כי נואש מחידוש הקשר. </w:t>
      </w:r>
    </w:p>
    <w:p w:rsidR="0013254E" w:rsidRPr="00405AF4" w:rsidRDefault="0013254E" w:rsidP="0013254E">
      <w:pPr>
        <w:pStyle w:val="af1"/>
        <w:tabs>
          <w:tab w:val="left" w:pos="1812"/>
        </w:tabs>
        <w:ind w:left="567" w:hanging="567"/>
        <w:rPr>
          <w:rFonts w:ascii="Arial" w:hAnsi="Arial"/>
          <w:noProof w:val="0"/>
          <w:rtl/>
        </w:rPr>
      </w:pPr>
      <w:r>
        <w:rPr>
          <w:rFonts w:ascii="Arial" w:hAnsi="Arial"/>
          <w:noProof w:val="0"/>
          <w:rtl/>
        </w:rPr>
        <w:tab/>
      </w:r>
      <w:r>
        <w:rPr>
          <w:rFonts w:ascii="Arial" w:hAnsi="Arial"/>
          <w:noProof w:val="0"/>
          <w:rtl/>
        </w:rPr>
        <w:tab/>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מאז 2017 או 2016 לא יצר התובע קשר וידאו עם הקטין ולא ביקש לכפות שיחות כאלה (עמוד 22). </w:t>
      </w:r>
    </w:p>
    <w:p w:rsidR="0013254E" w:rsidRPr="00405AF4"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התובע הציע לנתבעת לוותר על חיובי מזונות בתמורה לוויתו</w:t>
      </w:r>
      <w:r>
        <w:rPr>
          <w:rFonts w:ascii="Arial" w:hAnsi="Arial" w:hint="eastAsia"/>
          <w:noProof w:val="0"/>
          <w:rtl/>
        </w:rPr>
        <w:t>ר</w:t>
      </w:r>
      <w:r>
        <w:rPr>
          <w:rFonts w:ascii="Arial" w:hAnsi="Arial" w:hint="cs"/>
          <w:noProof w:val="0"/>
          <w:rtl/>
        </w:rPr>
        <w:t xml:space="preserve"> בעצם על התובענה. </w:t>
      </w:r>
    </w:p>
    <w:p w:rsidR="0013254E" w:rsidRPr="00405AF4"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עיינתי בעדותם של אלו שאינם צדדים ולא מצאתיהם משמעותיים. </w:t>
      </w:r>
    </w:p>
    <w:p w:rsidR="0013254E" w:rsidRDefault="0013254E" w:rsidP="0013254E">
      <w:pPr>
        <w:ind w:left="567" w:hanging="567"/>
        <w:rPr>
          <w:rFonts w:ascii="Arial" w:hAnsi="Arial"/>
          <w:noProof w:val="0"/>
          <w:rtl/>
        </w:rPr>
      </w:pPr>
    </w:p>
    <w:p w:rsidR="0013254E" w:rsidRPr="00405AF4" w:rsidRDefault="0013254E" w:rsidP="0013254E">
      <w:pPr>
        <w:spacing w:line="360" w:lineRule="auto"/>
        <w:ind w:left="567" w:hanging="567"/>
        <w:rPr>
          <w:rFonts w:ascii="Arial" w:hAnsi="Arial"/>
          <w:b/>
          <w:bCs/>
          <w:noProof w:val="0"/>
          <w:u w:val="single"/>
          <w:rtl/>
        </w:rPr>
      </w:pPr>
      <w:r w:rsidRPr="00405AF4">
        <w:rPr>
          <w:rFonts w:ascii="Arial" w:hAnsi="Arial" w:hint="cs"/>
          <w:b/>
          <w:bCs/>
          <w:noProof w:val="0"/>
          <w:u w:val="single"/>
          <w:rtl/>
        </w:rPr>
        <w:t>עדות הנתבעת</w:t>
      </w:r>
    </w:p>
    <w:p w:rsidR="0013254E" w:rsidRDefault="0013254E" w:rsidP="003910EA">
      <w:pPr>
        <w:pStyle w:val="af1"/>
        <w:numPr>
          <w:ilvl w:val="0"/>
          <w:numId w:val="1"/>
        </w:numPr>
        <w:spacing w:line="360" w:lineRule="auto"/>
        <w:ind w:left="567" w:hanging="567"/>
        <w:jc w:val="both"/>
        <w:rPr>
          <w:rFonts w:ascii="Arial" w:hAnsi="Arial"/>
          <w:noProof w:val="0"/>
        </w:rPr>
      </w:pPr>
      <w:r>
        <w:rPr>
          <w:rFonts w:ascii="Arial" w:hAnsi="Arial" w:hint="cs"/>
          <w:noProof w:val="0"/>
          <w:rtl/>
        </w:rPr>
        <w:t>בעמוד 24 לתרגום מצאנו כי הצדדים הכירו עת עבדה הנתבעת ב</w:t>
      </w:r>
      <w:r w:rsidR="003910EA">
        <w:rPr>
          <w:rFonts w:ascii="Arial" w:hAnsi="Arial" w:hint="cs"/>
          <w:noProof w:val="0"/>
          <w:rtl/>
        </w:rPr>
        <w:t>...</w:t>
      </w:r>
      <w:r>
        <w:rPr>
          <w:rFonts w:ascii="Arial" w:hAnsi="Arial" w:hint="cs"/>
          <w:noProof w:val="0"/>
          <w:rtl/>
        </w:rPr>
        <w:t xml:space="preserve">.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מראש לא תכננה הנתבעת לחיות בישראל (עמוד 31). </w:t>
      </w:r>
    </w:p>
    <w:p w:rsidR="0013254E" w:rsidRPr="00405AF4"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ברור כי לשיטת הנתבעת (עמוד 32) למדה היא מדברי התובע, שבוע טרם הלידה, כי אין הוא חפץ בילד ומשכך גם אין מחלוקת כי איש מן הצדדים לא ביקש בבית החולים לרשום את התובע כאב. </w:t>
      </w:r>
    </w:p>
    <w:p w:rsidR="0013254E" w:rsidRPr="00405AF4"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אין עורר כי התובע לא שיתף פעולה עם הנתבעת בהשגת דרכון ישראלי לקטין (עמוד 61). </w:t>
      </w:r>
    </w:p>
    <w:p w:rsidR="0013254E" w:rsidRPr="00405AF4"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מגיעים אנו לליבת העניין, לאמור האם פעלה הנתבעת כהורה מסור וסביר על-מנת לשמר הקשר בין התובע לבין בנו, על רקע "חוסר התלהבותה" מלכתחילה מכל קשר עם התובע. </w:t>
      </w:r>
    </w:p>
    <w:p w:rsidR="0013254E" w:rsidRPr="00405AF4"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אביא מעט מעדותה של הנתבעת (בתרגום), כך:</w:t>
      </w:r>
    </w:p>
    <w:p w:rsidR="0013254E" w:rsidRDefault="00922D94" w:rsidP="00922D94">
      <w:pPr>
        <w:spacing w:line="360" w:lineRule="auto"/>
        <w:ind w:left="567"/>
        <w:jc w:val="both"/>
        <w:rPr>
          <w:rFonts w:ascii="Arial" w:hAnsi="Arial"/>
          <w:noProof w:val="0"/>
          <w:rtl/>
        </w:rPr>
      </w:pPr>
      <w:r>
        <w:rPr>
          <w:rFonts w:ascii="Arial" w:hAnsi="Arial" w:hint="cs"/>
          <w:noProof w:val="0"/>
          <w:rtl/>
        </w:rPr>
        <w:t>.............................</w:t>
      </w:r>
    </w:p>
    <w:p w:rsidR="0013254E" w:rsidRPr="00405AF4" w:rsidRDefault="0013254E" w:rsidP="00922D94">
      <w:pPr>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נדמה לי שמכל האמור לעיל ברורה רוח הדברים. התובע אמנם "ניסה" לעמוד בקשר, אך ודאי שלא טרח למצות כל יום וכל שעה לשם בניית הקשר. </w:t>
      </w:r>
    </w:p>
    <w:p w:rsidR="0013254E" w:rsidRPr="00B16D82" w:rsidRDefault="0013254E" w:rsidP="0013254E">
      <w:pPr>
        <w:pStyle w:val="af1"/>
        <w:spacing w:line="360" w:lineRule="auto"/>
        <w:ind w:left="567" w:hanging="567"/>
        <w:jc w:val="both"/>
        <w:rPr>
          <w:rFonts w:ascii="Arial" w:hAnsi="Arial"/>
          <w:noProof w:val="0"/>
          <w:sz w:val="18"/>
          <w:szCs w:val="18"/>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הדברים, בנוסף למרחק הגיאוגרפי ולגילו הצעיר של הקטין, הקשו מאוד על ראיית הילד באביו בבחינת לא יותר מזר. </w:t>
      </w:r>
    </w:p>
    <w:p w:rsidR="0013254E" w:rsidRDefault="0013254E" w:rsidP="00922D94">
      <w:pPr>
        <w:rPr>
          <w:rFonts w:ascii="Arial" w:hAnsi="Arial"/>
          <w:noProof w:val="0"/>
          <w:rtl/>
        </w:rPr>
      </w:pPr>
    </w:p>
    <w:p w:rsidR="0013254E" w:rsidRPr="000C4E23" w:rsidRDefault="0013254E" w:rsidP="0013254E">
      <w:pPr>
        <w:spacing w:line="360" w:lineRule="auto"/>
        <w:ind w:left="567" w:hanging="567"/>
        <w:rPr>
          <w:rFonts w:ascii="Arial" w:hAnsi="Arial"/>
          <w:b/>
          <w:bCs/>
          <w:noProof w:val="0"/>
          <w:u w:val="single"/>
          <w:rtl/>
        </w:rPr>
      </w:pPr>
      <w:r w:rsidRPr="000C4E23">
        <w:rPr>
          <w:rFonts w:ascii="Arial" w:hAnsi="Arial" w:hint="cs"/>
          <w:b/>
          <w:bCs/>
          <w:noProof w:val="0"/>
          <w:u w:val="single"/>
          <w:rtl/>
        </w:rPr>
        <w:t>ועוד מעט על הדין</w:t>
      </w:r>
    </w:p>
    <w:p w:rsidR="0013254E" w:rsidRPr="00EA0168"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באה העת לעיין בפסק דינה של כבוד סגנית הנשיא, השופטת ר. קודלר-עיאש </w:t>
      </w:r>
      <w:r w:rsidRPr="00EA0168">
        <w:rPr>
          <w:rFonts w:ascii="Arial" w:hAnsi="Arial" w:hint="cs"/>
          <w:noProof w:val="0"/>
          <w:rtl/>
        </w:rPr>
        <w:t>בתמ"ש (באר שבע) 16820-11-19</w:t>
      </w:r>
      <w:r>
        <w:rPr>
          <w:rFonts w:ascii="Arial" w:hAnsi="Arial" w:hint="cs"/>
          <w:noProof w:val="0"/>
          <w:rtl/>
        </w:rPr>
        <w:t xml:space="preserve"> </w:t>
      </w:r>
      <w:r w:rsidRPr="00EA0168">
        <w:rPr>
          <w:rFonts w:ascii="Arial" w:hAnsi="Arial" w:hint="cs"/>
          <w:b/>
          <w:bCs/>
          <w:noProof w:val="0"/>
          <w:rtl/>
        </w:rPr>
        <w:t>פלונית נ' פלוני</w:t>
      </w:r>
      <w:r>
        <w:rPr>
          <w:rFonts w:ascii="Arial" w:hAnsi="Arial" w:hint="cs"/>
          <w:noProof w:val="0"/>
          <w:rtl/>
        </w:rPr>
        <w:t xml:space="preserve"> (פמ"מ </w:t>
      </w:r>
      <w:r>
        <w:rPr>
          <w:rFonts w:ascii="Arial" w:hAnsi="Arial"/>
          <w:noProof w:val="0"/>
          <w:rtl/>
        </w:rPr>
        <w:t>–</w:t>
      </w:r>
      <w:r>
        <w:rPr>
          <w:rFonts w:ascii="Arial" w:hAnsi="Arial" w:hint="cs"/>
          <w:noProof w:val="0"/>
          <w:rtl/>
        </w:rPr>
        <w:t xml:space="preserve"> 14.12.2022)</w:t>
      </w:r>
      <w:r w:rsidRPr="00EA0168">
        <w:rPr>
          <w:rFonts w:ascii="Arial" w:hAnsi="Arial" w:hint="cs"/>
          <w:noProof w:val="0"/>
          <w:rtl/>
        </w:rPr>
        <w:t xml:space="preserve">, אשר עסק בעניין דומה לענייננו. </w:t>
      </w:r>
    </w:p>
    <w:p w:rsidR="0013254E" w:rsidRPr="00EA0168" w:rsidRDefault="0013254E" w:rsidP="0013254E">
      <w:pPr>
        <w:pStyle w:val="af1"/>
        <w:spacing w:line="360" w:lineRule="auto"/>
        <w:ind w:left="567" w:hanging="567"/>
        <w:jc w:val="both"/>
        <w:rPr>
          <w:rFonts w:ascii="Arial" w:hAnsi="Arial"/>
          <w:noProof w:val="0"/>
          <w:sz w:val="10"/>
          <w:szCs w:val="10"/>
        </w:rPr>
      </w:pPr>
    </w:p>
    <w:p w:rsidR="0013254E" w:rsidRDefault="0013254E" w:rsidP="0013254E">
      <w:pPr>
        <w:pStyle w:val="af1"/>
        <w:spacing w:line="360" w:lineRule="auto"/>
        <w:ind w:left="567"/>
        <w:jc w:val="both"/>
        <w:rPr>
          <w:rFonts w:ascii="Arial" w:hAnsi="Arial"/>
          <w:noProof w:val="0"/>
        </w:rPr>
      </w:pPr>
      <w:r>
        <w:rPr>
          <w:rFonts w:ascii="Arial" w:hAnsi="Arial" w:hint="cs"/>
          <w:noProof w:val="0"/>
          <w:rtl/>
        </w:rPr>
        <w:t xml:space="preserve">וכך כתבה, בין השאר, חברתי המלומדת (מעמוד 7 לפסק הדין): </w:t>
      </w:r>
    </w:p>
    <w:p w:rsidR="0013254E" w:rsidRDefault="0013254E" w:rsidP="0013254E">
      <w:pPr>
        <w:ind w:left="567" w:hanging="567"/>
        <w:rPr>
          <w:rFonts w:ascii="Arial" w:hAnsi="Arial"/>
          <w:noProof w:val="0"/>
          <w:rtl/>
        </w:rPr>
      </w:pPr>
    </w:p>
    <w:p w:rsidR="0013254E" w:rsidRDefault="0013254E" w:rsidP="0013254E">
      <w:pPr>
        <w:spacing w:line="360" w:lineRule="auto"/>
        <w:ind w:left="1287" w:firstLine="153"/>
        <w:jc w:val="both"/>
        <w:rPr>
          <w:rFonts w:ascii="Arial" w:hAnsi="Arial"/>
          <w:b/>
          <w:bCs/>
          <w:i/>
          <w:iCs/>
          <w:noProof w:val="0"/>
          <w:rtl/>
        </w:rPr>
      </w:pPr>
      <w:r>
        <w:rPr>
          <w:rFonts w:ascii="Arial" w:hAnsi="Arial" w:hint="cs"/>
          <w:b/>
          <w:bCs/>
          <w:i/>
          <w:iCs/>
          <w:noProof w:val="0"/>
          <w:rtl/>
        </w:rPr>
        <w:t>"</w:t>
      </w:r>
      <w:r w:rsidRPr="0061783A">
        <w:rPr>
          <w:rFonts w:ascii="Arial" w:hAnsi="Arial"/>
          <w:b/>
          <w:bCs/>
          <w:i/>
          <w:iCs/>
          <w:noProof w:val="0"/>
          <w:rtl/>
        </w:rPr>
        <w:t xml:space="preserve">15. </w:t>
      </w:r>
      <w:r>
        <w:rPr>
          <w:rFonts w:ascii="Arial" w:hAnsi="Arial"/>
          <w:b/>
          <w:bCs/>
          <w:i/>
          <w:iCs/>
          <w:noProof w:val="0"/>
          <w:rtl/>
        </w:rPr>
        <w:tab/>
      </w:r>
      <w:r w:rsidRPr="0061783A">
        <w:rPr>
          <w:rFonts w:ascii="Arial" w:hAnsi="Arial"/>
          <w:b/>
          <w:bCs/>
          <w:i/>
          <w:iCs/>
          <w:noProof w:val="0"/>
          <w:rtl/>
        </w:rPr>
        <w:t xml:space="preserve">רבות דיברה ההלכה הפסוקה בדבר משנה הזהירות הנדרש בהחלת דיני </w:t>
      </w:r>
    </w:p>
    <w:p w:rsidR="0013254E" w:rsidRPr="0061783A" w:rsidRDefault="0013254E" w:rsidP="0013254E">
      <w:pPr>
        <w:spacing w:line="360" w:lineRule="auto"/>
        <w:ind w:left="2160"/>
        <w:jc w:val="both"/>
        <w:rPr>
          <w:rFonts w:ascii="Arial" w:hAnsi="Arial"/>
          <w:b/>
          <w:bCs/>
          <w:i/>
          <w:iCs/>
          <w:noProof w:val="0"/>
          <w:rtl/>
        </w:rPr>
      </w:pPr>
      <w:r w:rsidRPr="0061783A">
        <w:rPr>
          <w:rFonts w:ascii="Arial" w:hAnsi="Arial"/>
          <w:b/>
          <w:bCs/>
          <w:i/>
          <w:iCs/>
          <w:noProof w:val="0"/>
          <w:rtl/>
        </w:rPr>
        <w:t>הנזיקין במרחב המשפחתי (כך למשל, ראה פס”ד בתיק תמ</w:t>
      </w:r>
      <w:r>
        <w:rPr>
          <w:rFonts w:ascii="Arial" w:hAnsi="Arial" w:hint="cs"/>
          <w:b/>
          <w:bCs/>
          <w:i/>
          <w:iCs/>
          <w:noProof w:val="0"/>
          <w:rtl/>
        </w:rPr>
        <w:t>"</w:t>
      </w:r>
      <w:r w:rsidRPr="0061783A">
        <w:rPr>
          <w:rFonts w:ascii="Arial" w:hAnsi="Arial"/>
          <w:b/>
          <w:bCs/>
          <w:i/>
          <w:iCs/>
          <w:noProof w:val="0"/>
          <w:rtl/>
        </w:rPr>
        <w:t>ש (כ</w:t>
      </w:r>
      <w:r>
        <w:rPr>
          <w:rFonts w:ascii="Arial" w:hAnsi="Arial" w:hint="cs"/>
          <w:b/>
          <w:bCs/>
          <w:i/>
          <w:iCs/>
          <w:noProof w:val="0"/>
          <w:rtl/>
        </w:rPr>
        <w:t>"</w:t>
      </w:r>
      <w:r w:rsidRPr="0061783A">
        <w:rPr>
          <w:rFonts w:ascii="Arial" w:hAnsi="Arial"/>
          <w:b/>
          <w:bCs/>
          <w:i/>
          <w:iCs/>
          <w:noProof w:val="0"/>
          <w:rtl/>
        </w:rPr>
        <w:t>ס) 658-02-10 ס.ש נ</w:t>
      </w:r>
      <w:r>
        <w:rPr>
          <w:rFonts w:ascii="Arial" w:hAnsi="Arial" w:hint="cs"/>
          <w:b/>
          <w:bCs/>
          <w:i/>
          <w:iCs/>
          <w:noProof w:val="0"/>
          <w:rtl/>
        </w:rPr>
        <w:t>'</w:t>
      </w:r>
      <w:r w:rsidRPr="0061783A">
        <w:rPr>
          <w:rFonts w:ascii="Arial" w:hAnsi="Arial"/>
          <w:b/>
          <w:bCs/>
          <w:i/>
          <w:iCs/>
          <w:noProof w:val="0"/>
          <w:rtl/>
        </w:rPr>
        <w:t xml:space="preserve"> י.ק וכן פס</w:t>
      </w:r>
      <w:r>
        <w:rPr>
          <w:rFonts w:ascii="Arial" w:hAnsi="Arial" w:hint="cs"/>
          <w:b/>
          <w:bCs/>
          <w:i/>
          <w:iCs/>
          <w:noProof w:val="0"/>
          <w:rtl/>
        </w:rPr>
        <w:t>"</w:t>
      </w:r>
      <w:r w:rsidRPr="0061783A">
        <w:rPr>
          <w:rFonts w:ascii="Arial" w:hAnsi="Arial"/>
          <w:b/>
          <w:bCs/>
          <w:i/>
          <w:iCs/>
          <w:noProof w:val="0"/>
          <w:rtl/>
        </w:rPr>
        <w:t>ד בתיק תמ</w:t>
      </w:r>
      <w:r>
        <w:rPr>
          <w:rFonts w:ascii="Arial" w:hAnsi="Arial" w:hint="cs"/>
          <w:b/>
          <w:bCs/>
          <w:i/>
          <w:iCs/>
          <w:noProof w:val="0"/>
          <w:rtl/>
        </w:rPr>
        <w:t>"</w:t>
      </w:r>
      <w:r w:rsidRPr="0061783A">
        <w:rPr>
          <w:rFonts w:ascii="Arial" w:hAnsi="Arial"/>
          <w:b/>
          <w:bCs/>
          <w:i/>
          <w:iCs/>
          <w:noProof w:val="0"/>
          <w:rtl/>
        </w:rPr>
        <w:t>ש (אשד</w:t>
      </w:r>
      <w:r>
        <w:rPr>
          <w:rFonts w:ascii="Arial" w:hAnsi="Arial" w:hint="cs"/>
          <w:b/>
          <w:bCs/>
          <w:i/>
          <w:iCs/>
          <w:noProof w:val="0"/>
          <w:rtl/>
        </w:rPr>
        <w:t>'</w:t>
      </w:r>
      <w:r w:rsidRPr="0061783A">
        <w:rPr>
          <w:rFonts w:ascii="Arial" w:hAnsi="Arial"/>
          <w:b/>
          <w:bCs/>
          <w:i/>
          <w:iCs/>
          <w:noProof w:val="0"/>
          <w:rtl/>
        </w:rPr>
        <w:t>) 18682-05-14 פלונית נ</w:t>
      </w:r>
      <w:r>
        <w:rPr>
          <w:rFonts w:ascii="Arial" w:hAnsi="Arial" w:hint="cs"/>
          <w:b/>
          <w:bCs/>
          <w:i/>
          <w:iCs/>
          <w:noProof w:val="0"/>
          <w:rtl/>
        </w:rPr>
        <w:t>'</w:t>
      </w:r>
      <w:r w:rsidRPr="0061783A">
        <w:rPr>
          <w:rFonts w:ascii="Arial" w:hAnsi="Arial"/>
          <w:b/>
          <w:bCs/>
          <w:i/>
          <w:iCs/>
          <w:noProof w:val="0"/>
          <w:rtl/>
        </w:rPr>
        <w:t xml:space="preserve"> אלמוני אשר ניתן ע”י מותב זה). מאפייניו של התא המשפחתי על מורכבותו ורגישותו מחייבת בחינה מושכלת וזהירה טרם מתן סעד שמא יימצא בית המשפט עושה מלאכה אשר רב בה הנזק על התועלת.</w:t>
      </w:r>
    </w:p>
    <w:p w:rsidR="0013254E" w:rsidRPr="0061783A" w:rsidRDefault="0013254E" w:rsidP="0013254E">
      <w:pPr>
        <w:spacing w:line="360" w:lineRule="auto"/>
        <w:ind w:left="567" w:hanging="567"/>
        <w:jc w:val="both"/>
        <w:rPr>
          <w:rFonts w:ascii="Arial" w:hAnsi="Arial"/>
          <w:b/>
          <w:bCs/>
          <w:i/>
          <w:iCs/>
          <w:noProof w:val="0"/>
          <w:rtl/>
        </w:rPr>
      </w:pPr>
    </w:p>
    <w:p w:rsidR="0013254E" w:rsidRPr="0061783A" w:rsidRDefault="0013254E" w:rsidP="0013254E">
      <w:pPr>
        <w:spacing w:line="360" w:lineRule="auto"/>
        <w:ind w:left="2160" w:hanging="720"/>
        <w:jc w:val="both"/>
        <w:rPr>
          <w:rFonts w:ascii="Arial" w:hAnsi="Arial"/>
          <w:b/>
          <w:bCs/>
          <w:i/>
          <w:iCs/>
          <w:noProof w:val="0"/>
          <w:rtl/>
        </w:rPr>
      </w:pPr>
      <w:r w:rsidRPr="0061783A">
        <w:rPr>
          <w:rFonts w:ascii="Arial" w:hAnsi="Arial"/>
          <w:b/>
          <w:bCs/>
          <w:i/>
          <w:iCs/>
          <w:noProof w:val="0"/>
          <w:rtl/>
        </w:rPr>
        <w:t xml:space="preserve">16. </w:t>
      </w:r>
      <w:r>
        <w:rPr>
          <w:rFonts w:ascii="Arial" w:hAnsi="Arial"/>
          <w:b/>
          <w:bCs/>
          <w:i/>
          <w:iCs/>
          <w:noProof w:val="0"/>
          <w:rtl/>
        </w:rPr>
        <w:tab/>
      </w:r>
      <w:r w:rsidRPr="0061783A">
        <w:rPr>
          <w:rFonts w:ascii="Arial" w:hAnsi="Arial"/>
          <w:b/>
          <w:bCs/>
          <w:i/>
          <w:iCs/>
          <w:noProof w:val="0"/>
          <w:rtl/>
        </w:rPr>
        <w:t>עוד הכירה הפסיקה בתופעת הניכור ההורי כמהווה תשתית לקיומה של עילת תביעה נזיקית הבאה תחת עוולת הרשלנות (סעיף 35 לפקודת הנזיקין [נוסח חדש]) או תחת עוולת הפרת חובה חקוקה (סעיף 63 לפקודת הנזיקין [נוסח חדש] וזאת מכוח סעיף 287 לחוק העונשין, התשל”ז-1977 (ראה תמ”ש (י-ם) 48750-07-12 י.ש נ</w:t>
      </w:r>
      <w:r>
        <w:rPr>
          <w:rFonts w:ascii="Arial" w:hAnsi="Arial" w:hint="cs"/>
          <w:b/>
          <w:bCs/>
          <w:i/>
          <w:iCs/>
          <w:noProof w:val="0"/>
          <w:rtl/>
        </w:rPr>
        <w:t>'</w:t>
      </w:r>
      <w:r w:rsidRPr="0061783A">
        <w:rPr>
          <w:rFonts w:ascii="Arial" w:hAnsi="Arial"/>
          <w:b/>
          <w:bCs/>
          <w:i/>
          <w:iCs/>
          <w:noProof w:val="0"/>
          <w:rtl/>
        </w:rPr>
        <w:t xml:space="preserve"> צ.כ), באשר ברור הוא כי מדובר בתופעה שלילית אשר חובה למגרה.</w:t>
      </w:r>
      <w:r>
        <w:rPr>
          <w:rFonts w:ascii="Arial" w:hAnsi="Arial" w:hint="cs"/>
          <w:b/>
          <w:bCs/>
          <w:i/>
          <w:iCs/>
          <w:noProof w:val="0"/>
          <w:rtl/>
        </w:rPr>
        <w:t>"</w:t>
      </w:r>
    </w:p>
    <w:p w:rsidR="0013254E" w:rsidRPr="00B16D82" w:rsidRDefault="0013254E" w:rsidP="00922D94">
      <w:pPr>
        <w:ind w:left="567" w:hanging="567"/>
        <w:rPr>
          <w:rFonts w:ascii="Arial" w:hAnsi="Arial"/>
          <w:noProof w:val="0"/>
          <w:rtl/>
        </w:rPr>
      </w:pPr>
      <w:r>
        <w:rPr>
          <w:rFonts w:ascii="Arial" w:hAnsi="Arial" w:hint="cs"/>
          <w:noProof w:val="0"/>
          <w:rtl/>
        </w:rPr>
        <w:t xml:space="preserve"> </w:t>
      </w:r>
    </w:p>
    <w:p w:rsidR="0013254E" w:rsidRDefault="0013254E" w:rsidP="00922D94">
      <w:pPr>
        <w:pStyle w:val="af1"/>
        <w:numPr>
          <w:ilvl w:val="0"/>
          <w:numId w:val="1"/>
        </w:numPr>
        <w:spacing w:line="360" w:lineRule="auto"/>
        <w:ind w:left="567" w:hanging="567"/>
        <w:jc w:val="both"/>
        <w:rPr>
          <w:rFonts w:ascii="Arial" w:hAnsi="Arial"/>
          <w:noProof w:val="0"/>
        </w:rPr>
      </w:pPr>
      <w:r>
        <w:rPr>
          <w:rFonts w:ascii="Arial" w:hAnsi="Arial" w:hint="cs"/>
          <w:noProof w:val="0"/>
          <w:rtl/>
        </w:rPr>
        <w:t>ספק גמור בעיניי אם עוולת הפרת החובה החקוקה היא מובהקת בכאן, שעה שכל טענה בדבר "חטיפת הקטין" מקומה ב</w:t>
      </w:r>
      <w:r w:rsidR="00922D94">
        <w:rPr>
          <w:rFonts w:ascii="Arial" w:hAnsi="Arial" w:hint="cs"/>
          <w:noProof w:val="0"/>
          <w:rtl/>
        </w:rPr>
        <w:t>...</w:t>
      </w:r>
      <w:r>
        <w:rPr>
          <w:rFonts w:ascii="Arial" w:hAnsi="Arial" w:hint="cs"/>
          <w:noProof w:val="0"/>
          <w:rtl/>
        </w:rPr>
        <w:t>; צווי המזונות, המשמורת וזמני השהות ב</w:t>
      </w:r>
      <w:r w:rsidR="00922D94">
        <w:rPr>
          <w:rFonts w:ascii="Arial" w:hAnsi="Arial" w:hint="cs"/>
          <w:noProof w:val="0"/>
          <w:rtl/>
        </w:rPr>
        <w:t>...</w:t>
      </w:r>
      <w:r>
        <w:rPr>
          <w:rFonts w:ascii="Arial" w:hAnsi="Arial" w:hint="cs"/>
          <w:noProof w:val="0"/>
          <w:rtl/>
        </w:rPr>
        <w:t xml:space="preserve"> הם, ואיש לא טרח לטעון או להוכיח את הדין ה</w:t>
      </w:r>
      <w:r w:rsidR="00922D94">
        <w:rPr>
          <w:rFonts w:ascii="Arial" w:hAnsi="Arial" w:hint="cs"/>
          <w:noProof w:val="0"/>
          <w:rtl/>
        </w:rPr>
        <w:t>...</w:t>
      </w:r>
      <w:r>
        <w:rPr>
          <w:rFonts w:ascii="Arial" w:hAnsi="Arial" w:hint="cs"/>
          <w:noProof w:val="0"/>
          <w:rtl/>
        </w:rPr>
        <w:t xml:space="preserve"> - דין זר הצריך להוכחה - בפניי. </w:t>
      </w:r>
    </w:p>
    <w:p w:rsidR="0013254E" w:rsidRDefault="0013254E" w:rsidP="0013254E">
      <w:pPr>
        <w:pStyle w:val="af1"/>
        <w:spacing w:line="360" w:lineRule="auto"/>
        <w:ind w:left="567" w:hanging="567"/>
        <w:jc w:val="both"/>
        <w:rPr>
          <w:rFonts w:ascii="Arial" w:hAnsi="Arial"/>
          <w:noProof w:val="0"/>
          <w:sz w:val="16"/>
          <w:szCs w:val="16"/>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והמשיכה סגנית הנשיא הנכבדה וכתבה, כך:</w:t>
      </w:r>
    </w:p>
    <w:p w:rsidR="0013254E" w:rsidRPr="00BF375D" w:rsidRDefault="0013254E" w:rsidP="0013254E">
      <w:pPr>
        <w:ind w:left="567" w:hanging="567"/>
        <w:rPr>
          <w:rFonts w:ascii="Arial" w:hAnsi="Arial"/>
          <w:noProof w:val="0"/>
          <w:rtl/>
        </w:rPr>
      </w:pPr>
    </w:p>
    <w:p w:rsidR="0013254E" w:rsidRDefault="0013254E" w:rsidP="0013254E">
      <w:pPr>
        <w:spacing w:line="360" w:lineRule="auto"/>
        <w:ind w:left="1287" w:firstLine="153"/>
        <w:jc w:val="both"/>
        <w:rPr>
          <w:rFonts w:ascii="Arial" w:hAnsi="Arial"/>
          <w:b/>
          <w:bCs/>
          <w:i/>
          <w:iCs/>
          <w:noProof w:val="0"/>
          <w:rtl/>
        </w:rPr>
      </w:pPr>
      <w:r>
        <w:rPr>
          <w:rFonts w:ascii="Arial" w:hAnsi="Arial" w:hint="cs"/>
          <w:b/>
          <w:bCs/>
          <w:i/>
          <w:iCs/>
          <w:noProof w:val="0"/>
          <w:rtl/>
        </w:rPr>
        <w:t>"</w:t>
      </w:r>
      <w:r w:rsidRPr="003405B3">
        <w:rPr>
          <w:rFonts w:ascii="Arial" w:hAnsi="Arial"/>
          <w:b/>
          <w:bCs/>
          <w:i/>
          <w:iCs/>
          <w:noProof w:val="0"/>
          <w:u w:val="single"/>
          <w:rtl/>
        </w:rPr>
        <w:t>עוולת הרשלנות</w:t>
      </w:r>
    </w:p>
    <w:p w:rsidR="0013254E" w:rsidRDefault="0013254E" w:rsidP="0013254E">
      <w:pPr>
        <w:spacing w:line="360" w:lineRule="auto"/>
        <w:ind w:left="2160" w:hanging="720"/>
        <w:jc w:val="both"/>
        <w:rPr>
          <w:rFonts w:ascii="Arial" w:hAnsi="Arial"/>
          <w:b/>
          <w:bCs/>
          <w:i/>
          <w:iCs/>
          <w:noProof w:val="0"/>
          <w:rtl/>
        </w:rPr>
      </w:pPr>
      <w:r>
        <w:rPr>
          <w:rFonts w:ascii="Arial" w:hAnsi="Arial" w:hint="cs"/>
          <w:b/>
          <w:bCs/>
          <w:i/>
          <w:iCs/>
          <w:noProof w:val="0"/>
          <w:rtl/>
        </w:rPr>
        <w:t xml:space="preserve">18. </w:t>
      </w:r>
      <w:r>
        <w:rPr>
          <w:rFonts w:ascii="Arial" w:hAnsi="Arial"/>
          <w:b/>
          <w:bCs/>
          <w:i/>
          <w:iCs/>
          <w:noProof w:val="0"/>
          <w:rtl/>
        </w:rPr>
        <w:tab/>
      </w:r>
      <w:r>
        <w:rPr>
          <w:rFonts w:ascii="Arial" w:hAnsi="Arial" w:hint="cs"/>
          <w:b/>
          <w:bCs/>
          <w:i/>
          <w:iCs/>
          <w:noProof w:val="0"/>
          <w:rtl/>
        </w:rPr>
        <w:t>עוולת הרשלנות מוגדרת בסעיף 35 לפקודת הנזיקין כך: "</w:t>
      </w:r>
      <w:r w:rsidRPr="003405B3">
        <w:rPr>
          <w:rFonts w:ascii="Arial" w:hAnsi="Arial"/>
          <w:b/>
          <w:bCs/>
          <w:i/>
          <w:iCs/>
          <w:noProof w:val="0"/>
          <w:rtl/>
        </w:rPr>
        <w:t xml:space="preserve">עשה אדם מעשה שאדם סביר ונבון לא היה עושה באותן נסיבות או לא עשה מעשה שאדם סביר ונבון היה עושה באותן נסיבות, או שבמשלח יד פלוני לא השתמש במיומנות, או לא נקט מידת זהירות, שאדם סביר ונבון וכשיר לפעול באותו משלח יד היה משתמש או נוקט באותן נסיבות – הרי זו התרשלות; ואם התרשל כאמור ביחס לאדם אחר, שלגביו יש לו באותן נסיבות חובה שלא </w:t>
      </w:r>
      <w:r w:rsidRPr="003405B3">
        <w:rPr>
          <w:rFonts w:ascii="Arial" w:hAnsi="Arial"/>
          <w:b/>
          <w:bCs/>
          <w:i/>
          <w:iCs/>
          <w:noProof w:val="0"/>
          <w:rtl/>
        </w:rPr>
        <w:lastRenderedPageBreak/>
        <w:t>לנהוג כפי שנהג, הרי זו רשלנות, והגורם ברשלנותו נזק לזולתו עושה עוולה</w:t>
      </w:r>
      <w:r>
        <w:rPr>
          <w:rFonts w:ascii="Arial" w:hAnsi="Arial" w:hint="cs"/>
          <w:b/>
          <w:bCs/>
          <w:i/>
          <w:iCs/>
          <w:noProof w:val="0"/>
          <w:rtl/>
        </w:rPr>
        <w:t>".</w:t>
      </w:r>
    </w:p>
    <w:p w:rsidR="0013254E" w:rsidRDefault="0013254E" w:rsidP="0013254E">
      <w:pPr>
        <w:spacing w:line="360" w:lineRule="auto"/>
        <w:ind w:left="567" w:hanging="567"/>
        <w:jc w:val="both"/>
        <w:rPr>
          <w:rFonts w:ascii="Arial" w:hAnsi="Arial"/>
          <w:b/>
          <w:bCs/>
          <w:i/>
          <w:iCs/>
          <w:noProof w:val="0"/>
          <w:rtl/>
        </w:rPr>
      </w:pPr>
    </w:p>
    <w:p w:rsidR="0013254E" w:rsidRDefault="0013254E" w:rsidP="0013254E">
      <w:pPr>
        <w:spacing w:line="360" w:lineRule="auto"/>
        <w:ind w:left="2160" w:hanging="720"/>
        <w:jc w:val="both"/>
        <w:rPr>
          <w:rFonts w:ascii="Arial" w:hAnsi="Arial"/>
          <w:b/>
          <w:bCs/>
          <w:i/>
          <w:iCs/>
          <w:noProof w:val="0"/>
        </w:rPr>
      </w:pPr>
      <w:r>
        <w:rPr>
          <w:rFonts w:ascii="Arial" w:hAnsi="Arial" w:hint="cs"/>
          <w:b/>
          <w:bCs/>
          <w:i/>
          <w:iCs/>
          <w:noProof w:val="0"/>
          <w:rtl/>
        </w:rPr>
        <w:t xml:space="preserve">19. </w:t>
      </w:r>
      <w:r>
        <w:rPr>
          <w:rFonts w:ascii="Arial" w:hAnsi="Arial"/>
          <w:b/>
          <w:bCs/>
          <w:i/>
          <w:iCs/>
          <w:noProof w:val="0"/>
          <w:rtl/>
        </w:rPr>
        <w:tab/>
      </w:r>
      <w:r w:rsidRPr="003405B3">
        <w:rPr>
          <w:rFonts w:ascii="Arial" w:hAnsi="Arial"/>
          <w:b/>
          <w:bCs/>
          <w:i/>
          <w:iCs/>
          <w:noProof w:val="0"/>
          <w:rtl/>
        </w:rPr>
        <w:t>עוולת הרשלנות נשענת הלכה למעשה על ארבעה אדנים: חובת הזהירות, הפרתה, גרם נזק וקיומו של קשר סיבתי בין הנזק להפרת חובת הזהירות</w:t>
      </w:r>
      <w:r w:rsidRPr="003405B3">
        <w:rPr>
          <w:rFonts w:ascii="Arial" w:hAnsi="Arial"/>
          <w:b/>
          <w:bCs/>
          <w:i/>
          <w:iCs/>
          <w:noProof w:val="0"/>
        </w:rPr>
        <w:t>.</w:t>
      </w:r>
    </w:p>
    <w:p w:rsidR="0013254E" w:rsidRDefault="0013254E" w:rsidP="0013254E">
      <w:pPr>
        <w:spacing w:line="360" w:lineRule="auto"/>
        <w:ind w:left="567" w:hanging="567"/>
        <w:jc w:val="both"/>
        <w:rPr>
          <w:rFonts w:ascii="Arial" w:hAnsi="Arial"/>
          <w:b/>
          <w:bCs/>
          <w:i/>
          <w:iCs/>
          <w:noProof w:val="0"/>
          <w:rtl/>
        </w:rPr>
      </w:pPr>
    </w:p>
    <w:p w:rsidR="0013254E" w:rsidRDefault="0013254E" w:rsidP="0013254E">
      <w:pPr>
        <w:spacing w:line="360" w:lineRule="auto"/>
        <w:ind w:left="2160" w:hanging="720"/>
        <w:jc w:val="both"/>
        <w:rPr>
          <w:rFonts w:ascii="Arial" w:hAnsi="Arial"/>
          <w:b/>
          <w:bCs/>
          <w:i/>
          <w:iCs/>
          <w:noProof w:val="0"/>
        </w:rPr>
      </w:pPr>
      <w:r>
        <w:rPr>
          <w:rFonts w:ascii="Arial" w:hAnsi="Arial" w:hint="cs"/>
          <w:b/>
          <w:bCs/>
          <w:i/>
          <w:iCs/>
          <w:noProof w:val="0"/>
          <w:rtl/>
        </w:rPr>
        <w:t xml:space="preserve">20. </w:t>
      </w:r>
      <w:r>
        <w:rPr>
          <w:rFonts w:ascii="Arial" w:hAnsi="Arial"/>
          <w:b/>
          <w:bCs/>
          <w:i/>
          <w:iCs/>
          <w:noProof w:val="0"/>
          <w:rtl/>
        </w:rPr>
        <w:tab/>
      </w:r>
      <w:r w:rsidRPr="003405B3">
        <w:rPr>
          <w:rFonts w:ascii="Arial" w:hAnsi="Arial"/>
          <w:b/>
          <w:bCs/>
          <w:i/>
          <w:iCs/>
          <w:noProof w:val="0"/>
          <w:rtl/>
        </w:rPr>
        <w:t>התשובה לשאלת קיומה של חובת זהירות מצויה במבחן הצפיות, וכהגדרתו של סעיף 36 לפקודה:</w:t>
      </w:r>
      <w:r>
        <w:rPr>
          <w:rFonts w:ascii="Arial" w:hAnsi="Arial" w:hint="cs"/>
          <w:b/>
          <w:bCs/>
          <w:i/>
          <w:iCs/>
          <w:noProof w:val="0"/>
          <w:rtl/>
        </w:rPr>
        <w:t xml:space="preserve"> "</w:t>
      </w:r>
      <w:r w:rsidRPr="003405B3">
        <w:rPr>
          <w:rFonts w:ascii="Arial" w:hAnsi="Arial"/>
          <w:b/>
          <w:bCs/>
          <w:i/>
          <w:iCs/>
          <w:noProof w:val="0"/>
          <w:rtl/>
        </w:rPr>
        <w:t>כל אימת שאדם סביר צריך היה באותן נסיבות לראות מראש שהם עלולים במהלכם הרגיל של דברים להיפגע ממעשה או ממחדל המפורשים</w:t>
      </w:r>
      <w:r>
        <w:rPr>
          <w:rFonts w:ascii="Arial" w:hAnsi="Arial" w:hint="cs"/>
          <w:b/>
          <w:bCs/>
          <w:i/>
          <w:iCs/>
          <w:noProof w:val="0"/>
          <w:rtl/>
        </w:rPr>
        <w:t>"</w:t>
      </w:r>
      <w:r w:rsidRPr="003405B3">
        <w:rPr>
          <w:rFonts w:ascii="Arial" w:hAnsi="Arial"/>
          <w:b/>
          <w:bCs/>
          <w:i/>
          <w:iCs/>
          <w:noProof w:val="0"/>
          <w:rtl/>
        </w:rPr>
        <w:t xml:space="preserve"> בסעיף 35 לעיל (ראה ע</w:t>
      </w:r>
      <w:r>
        <w:rPr>
          <w:rFonts w:ascii="Arial" w:hAnsi="Arial" w:hint="cs"/>
          <w:b/>
          <w:bCs/>
          <w:i/>
          <w:iCs/>
          <w:noProof w:val="0"/>
          <w:rtl/>
        </w:rPr>
        <w:t>"</w:t>
      </w:r>
      <w:r w:rsidRPr="003405B3">
        <w:rPr>
          <w:rFonts w:ascii="Arial" w:hAnsi="Arial"/>
          <w:b/>
          <w:bCs/>
          <w:i/>
          <w:iCs/>
          <w:noProof w:val="0"/>
          <w:rtl/>
        </w:rPr>
        <w:t>א 145/80 שלמה ועקנין נ</w:t>
      </w:r>
      <w:r>
        <w:rPr>
          <w:rFonts w:ascii="Arial" w:hAnsi="Arial" w:hint="cs"/>
          <w:b/>
          <w:bCs/>
          <w:i/>
          <w:iCs/>
          <w:noProof w:val="0"/>
          <w:rtl/>
        </w:rPr>
        <w:t>'</w:t>
      </w:r>
      <w:r w:rsidRPr="003405B3">
        <w:rPr>
          <w:rFonts w:ascii="Arial" w:hAnsi="Arial"/>
          <w:b/>
          <w:bCs/>
          <w:i/>
          <w:iCs/>
          <w:noProof w:val="0"/>
          <w:rtl/>
        </w:rPr>
        <w:t xml:space="preserve"> המועצה המקומית, בית שמש)</w:t>
      </w:r>
      <w:r w:rsidRPr="003405B3">
        <w:rPr>
          <w:rFonts w:ascii="Arial" w:hAnsi="Arial"/>
          <w:b/>
          <w:bCs/>
          <w:i/>
          <w:iCs/>
          <w:noProof w:val="0"/>
        </w:rPr>
        <w:t>.</w:t>
      </w:r>
    </w:p>
    <w:p w:rsidR="0013254E" w:rsidRPr="003405B3" w:rsidRDefault="0013254E" w:rsidP="0013254E">
      <w:pPr>
        <w:spacing w:line="360" w:lineRule="auto"/>
        <w:ind w:left="567" w:hanging="567"/>
        <w:jc w:val="both"/>
        <w:rPr>
          <w:rFonts w:ascii="Arial" w:hAnsi="Arial"/>
          <w:b/>
          <w:bCs/>
          <w:i/>
          <w:iCs/>
          <w:noProof w:val="0"/>
          <w:rtl/>
        </w:rPr>
      </w:pPr>
    </w:p>
    <w:p w:rsidR="0013254E" w:rsidRPr="00922D94" w:rsidRDefault="0013254E" w:rsidP="00922D94">
      <w:pPr>
        <w:spacing w:line="360" w:lineRule="auto"/>
        <w:ind w:left="2160" w:hanging="720"/>
        <w:jc w:val="both"/>
        <w:rPr>
          <w:rFonts w:ascii="Arial" w:hAnsi="Arial"/>
          <w:b/>
          <w:bCs/>
          <w:i/>
          <w:iCs/>
          <w:noProof w:val="0"/>
        </w:rPr>
      </w:pPr>
      <w:r>
        <w:rPr>
          <w:rFonts w:ascii="Arial" w:hAnsi="Arial" w:hint="cs"/>
          <w:b/>
          <w:bCs/>
          <w:i/>
          <w:iCs/>
          <w:noProof w:val="0"/>
          <w:rtl/>
        </w:rPr>
        <w:t xml:space="preserve">21. </w:t>
      </w:r>
      <w:r>
        <w:rPr>
          <w:rFonts w:ascii="Arial" w:hAnsi="Arial"/>
          <w:b/>
          <w:bCs/>
          <w:i/>
          <w:iCs/>
          <w:noProof w:val="0"/>
          <w:rtl/>
        </w:rPr>
        <w:tab/>
      </w:r>
      <w:r w:rsidRPr="003405B3">
        <w:rPr>
          <w:rFonts w:ascii="Arial" w:hAnsi="Arial"/>
          <w:b/>
          <w:bCs/>
          <w:i/>
          <w:iCs/>
          <w:noProof w:val="0"/>
          <w:rtl/>
        </w:rPr>
        <w:t>בעוד שבהיבט הראשון של מבחן הצפיות – קיומה של חובת זהירות מושגית של הנתבע כלפי התובעת, הרי שאין מחלוקת שזו מתקיימת בין הצדדים בכל הנוגע לילדיהם המשותפים (ראה תמ</w:t>
      </w:r>
      <w:r>
        <w:rPr>
          <w:rFonts w:ascii="Arial" w:hAnsi="Arial" w:hint="cs"/>
          <w:b/>
          <w:bCs/>
          <w:i/>
          <w:iCs/>
          <w:noProof w:val="0"/>
          <w:rtl/>
        </w:rPr>
        <w:t>"</w:t>
      </w:r>
      <w:r w:rsidRPr="003405B3">
        <w:rPr>
          <w:rFonts w:ascii="Arial" w:hAnsi="Arial"/>
          <w:b/>
          <w:bCs/>
          <w:i/>
          <w:iCs/>
          <w:noProof w:val="0"/>
          <w:rtl/>
        </w:rPr>
        <w:t>ש [י-ם] 13993/02 פלוני נ</w:t>
      </w:r>
      <w:r>
        <w:rPr>
          <w:rFonts w:ascii="Arial" w:hAnsi="Arial" w:hint="cs"/>
          <w:b/>
          <w:bCs/>
          <w:i/>
          <w:iCs/>
          <w:noProof w:val="0"/>
          <w:rtl/>
        </w:rPr>
        <w:t>'</w:t>
      </w:r>
      <w:r w:rsidRPr="003405B3">
        <w:rPr>
          <w:rFonts w:ascii="Arial" w:hAnsi="Arial"/>
          <w:b/>
          <w:bCs/>
          <w:i/>
          <w:iCs/>
          <w:noProof w:val="0"/>
          <w:rtl/>
        </w:rPr>
        <w:t xml:space="preserve"> פלונית), ואולם בכל הנוגע להיבט השני שעניינו חובת זהירות קונקרטית, לא עלה בידיה של התובעת להוכיח כי ניתוק הקשר עם ילדיה לאורך השנים נגרם עקב הסתה מצד הנתבע או ניכור הורי כלפיה מצידו</w:t>
      </w:r>
      <w:r w:rsidRPr="003405B3">
        <w:rPr>
          <w:rFonts w:ascii="Arial" w:hAnsi="Arial"/>
          <w:b/>
          <w:bCs/>
          <w:i/>
          <w:iCs/>
          <w:noProof w:val="0"/>
        </w:rPr>
        <w:t>.</w:t>
      </w:r>
      <w:r w:rsidRPr="003405B3">
        <w:rPr>
          <w:rFonts w:ascii="Arial" w:hAnsi="Arial" w:hint="cs"/>
          <w:b/>
          <w:bCs/>
          <w:i/>
          <w:iCs/>
          <w:noProof w:val="0"/>
          <w:rtl/>
        </w:rPr>
        <w:t>"</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לשיטת כבוד השופטת קודלר-עייש, על-מנת לחוב בנזיקין ובעוולת הרשלנות דרוש זלזול וזדון מצד הנתבע (וראה עמוד 18, שם). דעתי הצנועה, כדעתה. </w:t>
      </w:r>
    </w:p>
    <w:p w:rsidR="0013254E" w:rsidRPr="00382FE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כאמור, כתבתי באריכות בשעתו על ה"חוזה המשפחתי", ואולם החובה לנהוג הגינות לבצע חוזה באופן מותאם נסיבות (וראה: תלה"מ (ת"א) 51455-03-17 </w:t>
      </w:r>
      <w:r w:rsidRPr="00BE6FA1">
        <w:rPr>
          <w:rFonts w:ascii="Arial" w:hAnsi="Arial" w:hint="cs"/>
          <w:b/>
          <w:bCs/>
          <w:noProof w:val="0"/>
          <w:rtl/>
        </w:rPr>
        <w:t>נ. א. מ. נ' ש. כ.</w:t>
      </w:r>
      <w:r>
        <w:rPr>
          <w:rFonts w:ascii="Arial" w:hAnsi="Arial" w:hint="cs"/>
          <w:noProof w:val="0"/>
          <w:rtl/>
        </w:rPr>
        <w:t xml:space="preserve"> {פמ"מ </w:t>
      </w:r>
      <w:r>
        <w:rPr>
          <w:rFonts w:ascii="Arial" w:hAnsi="Arial"/>
          <w:noProof w:val="0"/>
          <w:rtl/>
        </w:rPr>
        <w:t>–</w:t>
      </w:r>
      <w:r>
        <w:rPr>
          <w:rFonts w:ascii="Arial" w:hAnsi="Arial" w:hint="cs"/>
          <w:noProof w:val="0"/>
          <w:rtl/>
        </w:rPr>
        <w:t xml:space="preserve"> 05.04.2020}) היא בראש ובראשונה על התובע (לא רק בגדר המוציא מחברו) אלא גם כהורה החפץ בפיצוי. </w:t>
      </w:r>
    </w:p>
    <w:p w:rsidR="0013254E" w:rsidRPr="00382FE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לכאורה, נראה כי התובע תמרן עצמו למצב בו לא מיצה הביקורים, חדל מעשיה בפרקי זמן של שנים, הכביד שלא לצורך לעניין ניפוק הדרכון הישראלי, לא שיתף פעולה עם מרכז הקשר </w:t>
      </w:r>
      <w:r>
        <w:rPr>
          <w:rFonts w:ascii="Arial" w:hAnsi="Arial"/>
          <w:noProof w:val="0"/>
          <w:rtl/>
        </w:rPr>
        <w:t>–</w:t>
      </w:r>
      <w:r>
        <w:rPr>
          <w:rFonts w:ascii="Arial" w:hAnsi="Arial" w:hint="cs"/>
          <w:noProof w:val="0"/>
          <w:rtl/>
        </w:rPr>
        <w:t xml:space="preserve"> הכל כשהוא צופה יותר פני עתיד כספי ופחות פני עתיד הורי. </w:t>
      </w:r>
    </w:p>
    <w:p w:rsidR="0013254E" w:rsidRDefault="0013254E" w:rsidP="0013254E">
      <w:pPr>
        <w:pStyle w:val="af1"/>
        <w:ind w:left="567" w:hanging="567"/>
        <w:rPr>
          <w:rFonts w:ascii="Arial" w:hAnsi="Arial"/>
          <w:noProof w:val="0"/>
          <w:rtl/>
        </w:rPr>
      </w:pPr>
    </w:p>
    <w:p w:rsidR="0013254E" w:rsidRPr="00382FE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לטעמי, רתיעתו של בית המשפט מלהרבות תביעות נזיקין בדיני משפחה (וראה: רע"א 8368/18 </w:t>
      </w:r>
      <w:r w:rsidRPr="00AB04E6">
        <w:rPr>
          <w:rFonts w:ascii="Arial" w:hAnsi="Arial" w:hint="cs"/>
          <w:b/>
          <w:bCs/>
          <w:noProof w:val="0"/>
          <w:rtl/>
        </w:rPr>
        <w:t>פלונית נ' פלוני</w:t>
      </w:r>
      <w:r>
        <w:rPr>
          <w:rFonts w:ascii="Arial" w:hAnsi="Arial" w:hint="cs"/>
          <w:noProof w:val="0"/>
          <w:rtl/>
        </w:rPr>
        <w:t xml:space="preserve"> {פמ"מ 11.02.2020}) תחייב תובע כגון כאן בהגינות מוחלטת ומאמץ מירבי </w:t>
      </w:r>
      <w:r>
        <w:rPr>
          <w:rFonts w:ascii="Arial" w:hAnsi="Arial"/>
          <w:noProof w:val="0"/>
          <w:rtl/>
        </w:rPr>
        <w:t>–</w:t>
      </w:r>
      <w:r>
        <w:rPr>
          <w:rFonts w:ascii="Arial" w:hAnsi="Arial" w:hint="cs"/>
          <w:noProof w:val="0"/>
          <w:rtl/>
        </w:rPr>
        <w:t xml:space="preserve"> לא כך היו פני הדברים כאן מצידו של התובע. </w:t>
      </w:r>
    </w:p>
    <w:p w:rsidR="0013254E" w:rsidRPr="00382FEF"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lastRenderedPageBreak/>
        <w:t xml:space="preserve">אם תרצה תאמר בין שהתובע לא הוכיח תביעתו במובן זה שלא הוכיח כי הנתבעת פעלה בזדון או באי שיתוף פעולה בלתי סבירה. אם תרצה תאמר שהאשם התורם של התובע רב כדי כך שהוא מוביל ל- 100% אשם תורם. </w:t>
      </w:r>
    </w:p>
    <w:p w:rsidR="0013254E" w:rsidRPr="00382FEF" w:rsidRDefault="0013254E" w:rsidP="0013254E">
      <w:pPr>
        <w:pStyle w:val="af1"/>
        <w:ind w:left="567" w:hanging="567"/>
        <w:rPr>
          <w:rFonts w:ascii="Arial" w:hAnsi="Arial"/>
          <w:noProof w:val="0"/>
          <w:rtl/>
        </w:rPr>
      </w:pPr>
    </w:p>
    <w:p w:rsidR="0013254E" w:rsidRPr="00922D94" w:rsidRDefault="0013254E" w:rsidP="00922D94">
      <w:pPr>
        <w:pStyle w:val="af1"/>
        <w:numPr>
          <w:ilvl w:val="0"/>
          <w:numId w:val="1"/>
        </w:numPr>
        <w:spacing w:line="360" w:lineRule="auto"/>
        <w:ind w:left="567" w:hanging="567"/>
        <w:jc w:val="both"/>
        <w:rPr>
          <w:rFonts w:ascii="Arial" w:hAnsi="Arial"/>
          <w:noProof w:val="0"/>
          <w:rtl/>
        </w:rPr>
      </w:pPr>
      <w:r>
        <w:rPr>
          <w:rFonts w:ascii="Arial" w:hAnsi="Arial" w:hint="cs"/>
          <w:noProof w:val="0"/>
          <w:rtl/>
        </w:rPr>
        <w:t xml:space="preserve">איני סבור כי הנתבעת נהגה בחוסר זהירות או סבירות המצדיק את התובענה. </w:t>
      </w:r>
    </w:p>
    <w:p w:rsidR="0013254E" w:rsidRDefault="0013254E" w:rsidP="0013254E">
      <w:pPr>
        <w:ind w:left="567" w:hanging="567"/>
        <w:rPr>
          <w:rFonts w:ascii="Arial" w:hAnsi="Arial"/>
          <w:noProof w:val="0"/>
          <w:rtl/>
        </w:rPr>
      </w:pPr>
    </w:p>
    <w:p w:rsidR="0013254E" w:rsidRPr="00382FEF" w:rsidRDefault="0013254E" w:rsidP="0013254E">
      <w:pPr>
        <w:spacing w:line="360" w:lineRule="auto"/>
        <w:ind w:left="567" w:hanging="567"/>
        <w:rPr>
          <w:rFonts w:ascii="Arial" w:hAnsi="Arial"/>
          <w:b/>
          <w:bCs/>
          <w:noProof w:val="0"/>
          <w:u w:val="single"/>
          <w:rtl/>
        </w:rPr>
      </w:pPr>
      <w:r w:rsidRPr="00382FEF">
        <w:rPr>
          <w:rFonts w:ascii="Arial" w:hAnsi="Arial" w:hint="cs"/>
          <w:b/>
          <w:bCs/>
          <w:noProof w:val="0"/>
          <w:u w:val="single"/>
          <w:rtl/>
        </w:rPr>
        <w:t xml:space="preserve">למעלה מן הצורך </w:t>
      </w:r>
      <w:r w:rsidRPr="00382FEF">
        <w:rPr>
          <w:rFonts w:ascii="Arial" w:hAnsi="Arial"/>
          <w:b/>
          <w:bCs/>
          <w:noProof w:val="0"/>
          <w:u w:val="single"/>
          <w:rtl/>
        </w:rPr>
        <w:t>–</w:t>
      </w:r>
      <w:r w:rsidRPr="00382FEF">
        <w:rPr>
          <w:rFonts w:ascii="Arial" w:hAnsi="Arial" w:hint="cs"/>
          <w:b/>
          <w:bCs/>
          <w:noProof w:val="0"/>
          <w:u w:val="single"/>
          <w:rtl/>
        </w:rPr>
        <w:t xml:space="preserve"> דרישת הנזק</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סך 200,000 ₪ נתבעים בגין "עגמת נפש". אלא שכלל הוא שעגמת נפש אינו מפוצה בסכומים גדולים (וראה: ע"א 6540/05 </w:t>
      </w:r>
      <w:r w:rsidRPr="00AB04E6">
        <w:rPr>
          <w:rFonts w:ascii="Arial" w:hAnsi="Arial" w:hint="cs"/>
          <w:b/>
          <w:bCs/>
          <w:noProof w:val="0"/>
          <w:rtl/>
        </w:rPr>
        <w:t>סולל בונה נ' אבנר ואח'</w:t>
      </w:r>
      <w:r>
        <w:rPr>
          <w:rFonts w:ascii="Arial" w:hAnsi="Arial" w:hint="cs"/>
          <w:noProof w:val="0"/>
          <w:rtl/>
        </w:rPr>
        <w:t xml:space="preserve"> {פמ"מ </w:t>
      </w:r>
      <w:r>
        <w:rPr>
          <w:rFonts w:ascii="Arial" w:hAnsi="Arial"/>
          <w:noProof w:val="0"/>
          <w:rtl/>
        </w:rPr>
        <w:t>–</w:t>
      </w:r>
      <w:r>
        <w:rPr>
          <w:rFonts w:ascii="Arial" w:hAnsi="Arial" w:hint="cs"/>
          <w:noProof w:val="0"/>
          <w:rtl/>
        </w:rPr>
        <w:t xml:space="preserve"> 01.12.2008}). </w:t>
      </w:r>
    </w:p>
    <w:p w:rsidR="0013254E" w:rsidRDefault="0013254E" w:rsidP="0013254E">
      <w:pPr>
        <w:pStyle w:val="af1"/>
        <w:spacing w:line="360" w:lineRule="auto"/>
        <w:ind w:left="567" w:hanging="567"/>
        <w:jc w:val="both"/>
        <w:rPr>
          <w:rFonts w:ascii="Arial" w:hAnsi="Arial"/>
          <w:noProof w:val="0"/>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שאר התובענה הוא כביכול פיצוי מצטבר, פעם עבור "הפרת חובה חקוקה" ופעם נוספת הפרת החוזה המשפחתי </w:t>
      </w:r>
      <w:r>
        <w:rPr>
          <w:rFonts w:ascii="Arial" w:hAnsi="Arial"/>
          <w:noProof w:val="0"/>
          <w:rtl/>
        </w:rPr>
        <w:t>–</w:t>
      </w:r>
      <w:r>
        <w:rPr>
          <w:rFonts w:ascii="Arial" w:hAnsi="Arial" w:hint="cs"/>
          <w:noProof w:val="0"/>
          <w:rtl/>
        </w:rPr>
        <w:t xml:space="preserve"> אלא שמדובר באותו "נזק" אשר יכול, לטעמו של התובע, להיכנס בגדר שתי עילות. </w:t>
      </w:r>
    </w:p>
    <w:p w:rsidR="0013254E" w:rsidRPr="008009D9"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לבסוף נתבעו דמי בדיקת סיווג רקמות. אלא שאלו הם חלק מ"הוצאות המשפט" בהליך הבדיקה, וגם אם אלו לא נפסקו, אין מקומם בכאן. </w:t>
      </w:r>
    </w:p>
    <w:p w:rsidR="0013254E" w:rsidRPr="008009D9" w:rsidRDefault="0013254E" w:rsidP="0013254E">
      <w:pPr>
        <w:pStyle w:val="af1"/>
        <w:ind w:left="567" w:hanging="567"/>
        <w:rPr>
          <w:rFonts w:ascii="Arial" w:hAnsi="Arial"/>
          <w:noProof w:val="0"/>
          <w:rtl/>
        </w:rPr>
      </w:pPr>
    </w:p>
    <w:p w:rsidR="0013254E" w:rsidRDefault="0013254E" w:rsidP="00922D94">
      <w:pPr>
        <w:pStyle w:val="af1"/>
        <w:numPr>
          <w:ilvl w:val="0"/>
          <w:numId w:val="1"/>
        </w:numPr>
        <w:spacing w:line="360" w:lineRule="auto"/>
        <w:ind w:left="567" w:hanging="567"/>
        <w:jc w:val="both"/>
        <w:rPr>
          <w:rFonts w:ascii="Arial" w:hAnsi="Arial"/>
          <w:noProof w:val="0"/>
        </w:rPr>
      </w:pPr>
      <w:r>
        <w:rPr>
          <w:rFonts w:ascii="Arial" w:hAnsi="Arial" w:hint="cs"/>
          <w:noProof w:val="0"/>
          <w:rtl/>
        </w:rPr>
        <w:t>ודוק. כי הוצאות נוספות לצרכי נסיעה ל</w:t>
      </w:r>
      <w:r w:rsidR="00922D94">
        <w:rPr>
          <w:rFonts w:ascii="Arial" w:hAnsi="Arial" w:hint="cs"/>
          <w:noProof w:val="0"/>
          <w:rtl/>
        </w:rPr>
        <w:t>...</w:t>
      </w:r>
      <w:r>
        <w:rPr>
          <w:rFonts w:ascii="Arial" w:hAnsi="Arial" w:hint="cs"/>
          <w:noProof w:val="0"/>
          <w:rtl/>
        </w:rPr>
        <w:t xml:space="preserve"> אין מקומם בכאן, משנדחית התובענה. </w:t>
      </w:r>
    </w:p>
    <w:p w:rsidR="0013254E" w:rsidRDefault="0013254E" w:rsidP="00922D94">
      <w:pPr>
        <w:rPr>
          <w:rFonts w:ascii="Arial" w:hAnsi="Arial"/>
          <w:noProof w:val="0"/>
          <w:rtl/>
        </w:rPr>
      </w:pPr>
    </w:p>
    <w:p w:rsidR="0013254E" w:rsidRPr="008009D9" w:rsidRDefault="0013254E" w:rsidP="0013254E">
      <w:pPr>
        <w:spacing w:line="360" w:lineRule="auto"/>
        <w:ind w:left="567" w:hanging="567"/>
        <w:rPr>
          <w:rFonts w:ascii="Arial" w:hAnsi="Arial"/>
          <w:b/>
          <w:bCs/>
          <w:noProof w:val="0"/>
          <w:u w:val="single"/>
          <w:rtl/>
        </w:rPr>
      </w:pPr>
      <w:r w:rsidRPr="008009D9">
        <w:rPr>
          <w:rFonts w:ascii="Arial" w:hAnsi="Arial" w:hint="cs"/>
          <w:b/>
          <w:bCs/>
          <w:noProof w:val="0"/>
          <w:u w:val="single"/>
          <w:rtl/>
        </w:rPr>
        <w:t>סוף דבר</w:t>
      </w: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התובענה נדחית. </w:t>
      </w:r>
    </w:p>
    <w:p w:rsidR="0013254E" w:rsidRPr="00E47BF8" w:rsidRDefault="0013254E" w:rsidP="0013254E">
      <w:pPr>
        <w:pStyle w:val="af1"/>
        <w:spacing w:line="360" w:lineRule="auto"/>
        <w:ind w:left="567"/>
        <w:jc w:val="both"/>
        <w:rPr>
          <w:rFonts w:ascii="Arial" w:hAnsi="Arial"/>
          <w:noProof w:val="0"/>
          <w:sz w:val="14"/>
          <w:szCs w:val="14"/>
        </w:rPr>
      </w:pPr>
    </w:p>
    <w:p w:rsidR="0013254E" w:rsidRDefault="0013254E" w:rsidP="0013254E">
      <w:pPr>
        <w:pStyle w:val="af1"/>
        <w:numPr>
          <w:ilvl w:val="0"/>
          <w:numId w:val="1"/>
        </w:numPr>
        <w:spacing w:line="360" w:lineRule="auto"/>
        <w:ind w:left="567" w:hanging="567"/>
        <w:jc w:val="both"/>
        <w:rPr>
          <w:rFonts w:ascii="Arial" w:hAnsi="Arial"/>
          <w:noProof w:val="0"/>
        </w:rPr>
      </w:pPr>
      <w:r>
        <w:rPr>
          <w:rFonts w:ascii="Arial" w:hAnsi="Arial" w:hint="cs"/>
          <w:noProof w:val="0"/>
          <w:rtl/>
        </w:rPr>
        <w:t xml:space="preserve">התובע יישא בהוצאות הנתבעת בסך 45,000 ₪. </w:t>
      </w:r>
    </w:p>
    <w:p w:rsidR="0013254E" w:rsidRPr="008009D9" w:rsidRDefault="0013254E" w:rsidP="0013254E">
      <w:pPr>
        <w:pStyle w:val="af1"/>
        <w:ind w:left="567" w:hanging="567"/>
        <w:rPr>
          <w:rFonts w:ascii="Arial" w:hAnsi="Arial"/>
          <w:noProof w:val="0"/>
          <w:rtl/>
        </w:rPr>
      </w:pPr>
    </w:p>
    <w:p w:rsidR="0013254E" w:rsidRPr="007D58BA" w:rsidRDefault="0013254E" w:rsidP="0013254E">
      <w:pPr>
        <w:pStyle w:val="af1"/>
        <w:numPr>
          <w:ilvl w:val="0"/>
          <w:numId w:val="1"/>
        </w:numPr>
        <w:spacing w:line="360" w:lineRule="auto"/>
        <w:ind w:left="567" w:hanging="567"/>
        <w:jc w:val="both"/>
        <w:rPr>
          <w:rFonts w:ascii="Arial" w:hAnsi="Arial"/>
          <w:noProof w:val="0"/>
          <w:rtl/>
        </w:rPr>
      </w:pPr>
      <w:r>
        <w:rPr>
          <w:rFonts w:ascii="Arial" w:hAnsi="Arial" w:hint="cs"/>
          <w:noProof w:val="0"/>
          <w:rtl/>
        </w:rPr>
        <w:t xml:space="preserve">ניתן היתר לפרסם פסק דין זה, ללא פרט מזהה כלשהו אודות הצדדים. </w:t>
      </w:r>
    </w:p>
    <w:p w:rsidR="0013254E" w:rsidRPr="008009D9" w:rsidRDefault="0013254E" w:rsidP="0013254E">
      <w:pPr>
        <w:pStyle w:val="af1"/>
        <w:ind w:left="567" w:hanging="567"/>
        <w:rPr>
          <w:rFonts w:ascii="Arial" w:hAnsi="Arial"/>
          <w:noProof w:val="0"/>
          <w:rtl/>
        </w:rPr>
      </w:pPr>
    </w:p>
    <w:p w:rsidR="0013254E" w:rsidRDefault="0013254E" w:rsidP="0013254E">
      <w:pPr>
        <w:pStyle w:val="af1"/>
        <w:numPr>
          <w:ilvl w:val="0"/>
          <w:numId w:val="1"/>
        </w:numPr>
        <w:spacing w:line="360" w:lineRule="auto"/>
        <w:ind w:left="567" w:hanging="567"/>
        <w:jc w:val="both"/>
        <w:rPr>
          <w:rFonts w:ascii="Arial" w:hAnsi="Arial"/>
          <w:b/>
          <w:bCs/>
          <w:noProof w:val="0"/>
        </w:rPr>
      </w:pPr>
      <w:r w:rsidRPr="008009D9">
        <w:rPr>
          <w:rFonts w:ascii="Arial" w:hAnsi="Arial" w:hint="cs"/>
          <w:b/>
          <w:bCs/>
          <w:noProof w:val="0"/>
          <w:u w:val="single"/>
          <w:rtl/>
        </w:rPr>
        <w:t>המזכירות תסגור את התיק</w:t>
      </w:r>
      <w:r w:rsidRPr="008009D9">
        <w:rPr>
          <w:rFonts w:ascii="Arial" w:hAnsi="Arial" w:hint="cs"/>
          <w:b/>
          <w:bCs/>
          <w:noProof w:val="0"/>
          <w:rtl/>
        </w:rPr>
        <w:t xml:space="preserve">. </w:t>
      </w:r>
    </w:p>
    <w:p w:rsidR="0013254E" w:rsidRPr="00E47BF8" w:rsidRDefault="0013254E" w:rsidP="0013254E">
      <w:pPr>
        <w:spacing w:line="360" w:lineRule="auto"/>
        <w:jc w:val="both"/>
        <w:rPr>
          <w:rFonts w:ascii="Arial" w:hAnsi="Arial"/>
          <w:b/>
          <w:bCs/>
          <w:noProof w:val="0"/>
        </w:rPr>
      </w:pPr>
    </w:p>
    <w:p w:rsidR="0013254E" w:rsidRPr="00E47BF8" w:rsidRDefault="0013254E" w:rsidP="0013254E">
      <w:pPr>
        <w:spacing w:line="360" w:lineRule="auto"/>
        <w:jc w:val="both"/>
        <w:rPr>
          <w:rFonts w:ascii="Arial" w:hAnsi="Arial"/>
          <w:b/>
          <w:bCs/>
          <w:noProof w:val="0"/>
        </w:rPr>
      </w:pPr>
    </w:p>
    <w:p w:rsidR="0013254E" w:rsidRPr="00E47BF8" w:rsidRDefault="0013254E" w:rsidP="0013254E">
      <w:pPr>
        <w:spacing w:line="360" w:lineRule="auto"/>
        <w:jc w:val="both"/>
        <w:rPr>
          <w:rFonts w:ascii="Arial" w:hAnsi="Arial"/>
          <w:b/>
          <w:bCs/>
          <w:noProof w:val="0"/>
          <w:rtl/>
        </w:rPr>
      </w:pPr>
      <w:r w:rsidRPr="00E47BF8">
        <w:rPr>
          <w:rFonts w:ascii="Arial" w:hAnsi="Arial"/>
          <w:b/>
          <w:bCs/>
          <w:noProof w:val="0"/>
          <w:rtl/>
        </w:rPr>
        <w:t xml:space="preserve">ניתן היום,  </w:t>
      </w:r>
      <w:sdt>
        <w:sdtPr>
          <w:rPr>
            <w:rFonts w:ascii="Arial" w:hAnsi="Arial"/>
            <w:b/>
            <w:bCs/>
            <w:noProof w:val="0"/>
            <w:rtl/>
          </w:rPr>
          <w:alias w:val="1455"/>
          <w:tag w:val="1455"/>
          <w:id w:val="-1784405537"/>
          <w:text w:multiLine="1"/>
        </w:sdtPr>
        <w:sdtEndPr/>
        <w:sdtContent>
          <w:r>
            <w:rPr>
              <w:rFonts w:ascii="Arial" w:hAnsi="Arial" w:hint="cs"/>
              <w:b/>
              <w:bCs/>
              <w:noProof w:val="0"/>
              <w:rtl/>
            </w:rPr>
            <w:t>כ"ו אדר תשפ"ג</w:t>
          </w:r>
        </w:sdtContent>
      </w:sdt>
      <w:r w:rsidRPr="00E47BF8">
        <w:rPr>
          <w:rFonts w:ascii="Arial" w:hAnsi="Arial"/>
          <w:b/>
          <w:bCs/>
          <w:noProof w:val="0"/>
          <w:rtl/>
        </w:rPr>
        <w:t xml:space="preserve">, </w:t>
      </w:r>
      <w:sdt>
        <w:sdtPr>
          <w:rPr>
            <w:rFonts w:ascii="Arial" w:hAnsi="Arial"/>
            <w:b/>
            <w:bCs/>
            <w:noProof w:val="0"/>
            <w:rtl/>
          </w:rPr>
          <w:alias w:val="1456"/>
          <w:tag w:val="1456"/>
          <w:id w:val="-1133865600"/>
          <w:text w:multiLine="1"/>
        </w:sdtPr>
        <w:sdtEndPr/>
        <w:sdtContent>
          <w:r>
            <w:rPr>
              <w:rFonts w:ascii="Arial" w:hAnsi="Arial" w:hint="cs"/>
              <w:b/>
              <w:bCs/>
              <w:noProof w:val="0"/>
              <w:rtl/>
            </w:rPr>
            <w:t>19 מרץ 2023</w:t>
          </w:r>
        </w:sdtContent>
      </w:sdt>
      <w:r w:rsidRPr="00E47BF8">
        <w:rPr>
          <w:rFonts w:ascii="Arial" w:hAnsi="Arial"/>
          <w:b/>
          <w:bCs/>
          <w:noProof w:val="0"/>
          <w:rtl/>
        </w:rPr>
        <w:t>, בהעדר הצדדים.</w:t>
      </w:r>
    </w:p>
    <w:p w:rsidR="0013254E" w:rsidRDefault="0013254E" w:rsidP="0013254E">
      <w:pPr>
        <w:spacing w:line="360" w:lineRule="auto"/>
        <w:jc w:val="both"/>
        <w:rPr>
          <w:rFonts w:ascii="Arial" w:hAnsi="Arial"/>
          <w:noProof w:val="0"/>
          <w:rtl/>
        </w:rPr>
      </w:pPr>
    </w:p>
    <w:p w:rsidR="0013254E" w:rsidRDefault="00C86440" w:rsidP="0013254E">
      <w:pPr>
        <w:spacing w:line="360" w:lineRule="auto"/>
        <w:ind w:left="3600" w:firstLine="720"/>
        <w:jc w:val="right"/>
      </w:pPr>
      <w:sdt>
        <w:sdtPr>
          <w:rPr>
            <w:rtl/>
          </w:rPr>
          <w:alias w:val="MergeField"/>
          <w:tag w:val="1237"/>
          <w:id w:val="-682976826"/>
        </w:sdtPr>
        <w:sdtEndPr/>
        <w:sdtContent>
          <w:r w:rsidR="0013254E">
            <w:drawing>
              <wp:inline distT="0" distB="0" distL="0" distR="0" wp14:anchorId="4A132FBE" wp14:editId="5D1B705A">
                <wp:extent cx="1933574" cy="76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38" cstate="print">
                          <a:extLst/>
                        </a:blip>
                        <a:stretch>
                          <a:fillRect/>
                        </a:stretch>
                      </pic:blipFill>
                      <pic:spPr>
                        <a:xfrm>
                          <a:off x="0" y="0"/>
                          <a:ext cx="1933574" cy="762000"/>
                        </a:xfrm>
                        <a:prstGeom prst="rect">
                          <a:avLst/>
                        </a:prstGeom>
                      </pic:spPr>
                    </pic:pic>
                  </a:graphicData>
                </a:graphic>
              </wp:inline>
            </w:drawing>
          </w:r>
        </w:sdtContent>
      </w:sdt>
    </w:p>
    <w:p w:rsidR="0013254E" w:rsidRDefault="0013254E" w:rsidP="0013254E">
      <w:pPr>
        <w:spacing w:line="360" w:lineRule="auto"/>
        <w:ind w:left="3600" w:firstLine="720"/>
        <w:jc w:val="both"/>
        <w:rPr>
          <w:rFonts w:ascii="Arial" w:hAnsi="Arial"/>
          <w:noProof w:val="0"/>
          <w:rtl/>
        </w:rPr>
      </w:pPr>
    </w:p>
    <w:p w:rsidR="00F050FB" w:rsidRPr="0013254E" w:rsidRDefault="00F050FB" w:rsidP="0013254E">
      <w:pPr>
        <w:spacing w:line="360" w:lineRule="auto"/>
        <w:jc w:val="both"/>
        <w:rPr>
          <w:rFonts w:ascii="David" w:hAnsi="David"/>
        </w:rPr>
      </w:pPr>
    </w:p>
    <w:sectPr w:rsidR="00F050FB" w:rsidRPr="0013254E" w:rsidSect="002914D6">
      <w:headerReference w:type="default" r:id="rId39"/>
      <w:footerReference w:type="default" r:id="rId40"/>
      <w:pgSz w:w="11907" w:h="16840" w:code="9"/>
      <w:pgMar w:top="720" w:right="1701" w:bottom="431" w:left="1701" w:header="720" w:footer="1055" w:gutter="0"/>
      <w:lnNumType w:countBy="1"/>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6440" w:rsidRDefault="00C86440" w:rsidP="003910EA">
      <w:r>
        <w:separator/>
      </w:r>
    </w:p>
  </w:endnote>
  <w:endnote w:type="continuationSeparator" w:id="0">
    <w:p w:rsidR="00C86440" w:rsidRDefault="00C86440" w:rsidP="003910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Miriam">
    <w:panose1 w:val="020B0502050101010101"/>
    <w:charset w:val="00"/>
    <w:family w:val="swiss"/>
    <w:pitch w:val="variable"/>
    <w:sig w:usb0="00000803" w:usb1="00000000" w:usb2="00000000" w:usb3="00000000" w:csb0="00000021" w:csb1="00000000"/>
  </w:font>
  <w:font w:name="FrankRuehl">
    <w:panose1 w:val="020E0503060101010101"/>
    <w:charset w:val="00"/>
    <w:family w:val="swiss"/>
    <w:pitch w:val="variable"/>
    <w:sig w:usb0="00000803" w:usb1="00000000" w:usb2="00000000" w:usb3="00000000" w:csb0="0000002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B761E">
    <w:pPr>
      <w:pStyle w:val="a5"/>
      <w:jc w:val="center"/>
      <w:rPr>
        <w:rStyle w:val="af"/>
      </w:rPr>
    </w:pPr>
    <w:r>
      <w:rPr>
        <w:rStyle w:val="af"/>
      </w:rPr>
      <w:fldChar w:fldCharType="begin"/>
    </w:r>
    <w:r>
      <w:rPr>
        <w:rStyle w:val="af"/>
      </w:rPr>
      <w:instrText xml:space="preserve"> PAGE </w:instrText>
    </w:r>
    <w:r>
      <w:rPr>
        <w:rStyle w:val="af"/>
      </w:rPr>
      <w:fldChar w:fldCharType="separate"/>
    </w:r>
    <w:r w:rsidR="005B3E5E">
      <w:rPr>
        <w:rStyle w:val="af"/>
        <w:rtl/>
      </w:rPr>
      <w:t>1</w:t>
    </w:r>
    <w:r>
      <w:rPr>
        <w:rStyle w:val="af"/>
      </w:rPr>
      <w:fldChar w:fldCharType="end"/>
    </w:r>
    <w:r>
      <w:rPr>
        <w:rStyle w:val="af"/>
        <w:rFonts w:hint="cs"/>
        <w:rtl/>
      </w:rPr>
      <w:t xml:space="preserve"> מתוך </w:t>
    </w:r>
    <w:r>
      <w:rPr>
        <w:rStyle w:val="af"/>
      </w:rPr>
      <w:fldChar w:fldCharType="begin"/>
    </w:r>
    <w:r>
      <w:rPr>
        <w:rStyle w:val="af"/>
      </w:rPr>
      <w:instrText xml:space="preserve"> NUMPAGES </w:instrText>
    </w:r>
    <w:r>
      <w:rPr>
        <w:rStyle w:val="af"/>
      </w:rPr>
      <w:fldChar w:fldCharType="separate"/>
    </w:r>
    <w:r w:rsidR="005B3E5E">
      <w:rPr>
        <w:rStyle w:val="af"/>
        <w:rtl/>
      </w:rPr>
      <w:t>31</w:t>
    </w:r>
    <w:r>
      <w:rPr>
        <w:rStyle w:val="a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6440" w:rsidRDefault="00C86440" w:rsidP="003910EA">
      <w:r>
        <w:separator/>
      </w:r>
    </w:p>
  </w:footnote>
  <w:footnote w:type="continuationSeparator" w:id="0">
    <w:p w:rsidR="00C86440" w:rsidRDefault="00C86440" w:rsidP="003910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B761E">
    <w:pPr>
      <w:pStyle w:val="a3"/>
      <w:jc w:val="center"/>
      <w:rPr>
        <w:rFonts w:cs="FrankRuehl"/>
        <w:noProof w:val="0"/>
        <w:sz w:val="28"/>
        <w:szCs w:val="28"/>
        <w:rtl/>
      </w:rPr>
    </w:pPr>
    <w:r>
      <w:rPr>
        <w:rFonts w:cs="FrankRuehl"/>
        <w:sz w:val="28"/>
        <w:szCs w:val="28"/>
      </w:rPr>
      <w:drawing>
        <wp:inline distT="0" distB="0" distL="0" distR="0" wp14:anchorId="01A6E13D" wp14:editId="7A1BA352">
          <wp:extent cx="374015" cy="469265"/>
          <wp:effectExtent l="0" t="0" r="6985" b="6985"/>
          <wp:docPr id="10"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FB761E">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 יפו</w:t>
              </w:r>
            </w:p>
          </w:tc>
        </w:sdtContent>
      </w:sdt>
    </w:tr>
    <w:tr w:rsidR="002914D6">
      <w:trPr>
        <w:trHeight w:val="337"/>
        <w:jc w:val="center"/>
      </w:trPr>
      <w:tc>
        <w:tcPr>
          <w:tcW w:w="5047" w:type="dxa"/>
        </w:tcPr>
        <w:p w:rsidR="002914D6" w:rsidRDefault="00C86440">
          <w:pPr>
            <w:rPr>
              <w:b/>
              <w:bCs/>
              <w:noProof w:val="0"/>
              <w:sz w:val="26"/>
              <w:szCs w:val="26"/>
              <w:rtl/>
            </w:rPr>
          </w:pPr>
        </w:p>
      </w:tc>
      <w:tc>
        <w:tcPr>
          <w:tcW w:w="3674" w:type="dxa"/>
        </w:tcPr>
        <w:p w:rsidR="002914D6" w:rsidRDefault="00C86440">
          <w:pPr>
            <w:pStyle w:val="a3"/>
            <w:jc w:val="right"/>
            <w:rPr>
              <w:b/>
              <w:bCs/>
              <w:noProof w:val="0"/>
              <w:sz w:val="26"/>
              <w:szCs w:val="26"/>
              <w:rtl/>
            </w:rPr>
          </w:pPr>
        </w:p>
      </w:tc>
    </w:tr>
    <w:tr w:rsidR="002914D6">
      <w:trPr>
        <w:trHeight w:val="337"/>
        <w:jc w:val="center"/>
      </w:trPr>
      <w:tc>
        <w:tcPr>
          <w:tcW w:w="8721" w:type="dxa"/>
          <w:gridSpan w:val="2"/>
        </w:tcPr>
        <w:p w:rsidR="002914D6" w:rsidRDefault="00C86440">
          <w:pPr>
            <w:rPr>
              <w:rtl/>
            </w:rPr>
          </w:pPr>
          <w:sdt>
            <w:sdtPr>
              <w:rPr>
                <w:rtl/>
              </w:rPr>
              <w:alias w:val="1170"/>
              <w:tag w:val="1170"/>
              <w:id w:val="-984775694"/>
              <w:text w:multiLine="1"/>
            </w:sdtPr>
            <w:sdtEndPr/>
            <w:sdtContent>
              <w:r w:rsidR="00FB761E">
                <w:rPr>
                  <w:b/>
                  <w:bCs/>
                  <w:noProof w:val="0"/>
                  <w:sz w:val="26"/>
                  <w:szCs w:val="26"/>
                  <w:rtl/>
                </w:rPr>
                <w:t>תמ"ש</w:t>
              </w:r>
            </w:sdtContent>
          </w:sdt>
          <w:r w:rsidR="00FB761E">
            <w:rPr>
              <w:b/>
              <w:bCs/>
              <w:noProof w:val="0"/>
              <w:sz w:val="26"/>
              <w:szCs w:val="26"/>
              <w:rtl/>
            </w:rPr>
            <w:t xml:space="preserve"> </w:t>
          </w:r>
          <w:sdt>
            <w:sdtPr>
              <w:rPr>
                <w:rtl/>
              </w:rPr>
              <w:alias w:val="1171"/>
              <w:tag w:val="1171"/>
              <w:id w:val="1025217868"/>
              <w:text w:multiLine="1"/>
            </w:sdtPr>
            <w:sdtEndPr/>
            <w:sdtContent>
              <w:r w:rsidR="00FB761E">
                <w:rPr>
                  <w:b/>
                  <w:bCs/>
                  <w:noProof w:val="0"/>
                  <w:sz w:val="26"/>
                  <w:szCs w:val="26"/>
                  <w:rtl/>
                </w:rPr>
                <w:t>26682-06-20</w:t>
              </w:r>
            </w:sdtContent>
          </w:sdt>
          <w:r w:rsidR="00FB761E">
            <w:rPr>
              <w:b/>
              <w:bCs/>
              <w:noProof w:val="0"/>
              <w:sz w:val="26"/>
              <w:szCs w:val="26"/>
              <w:rtl/>
            </w:rPr>
            <w:t xml:space="preserve"> </w:t>
          </w:r>
          <w:sdt>
            <w:sdtPr>
              <w:rPr>
                <w:rtl/>
              </w:rPr>
              <w:alias w:val="1172"/>
              <w:tag w:val="1172"/>
              <w:id w:val="-673653942"/>
              <w:text w:multiLine="1"/>
            </w:sdtPr>
            <w:sdtEndPr/>
            <w:sdtContent>
              <w:r w:rsidR="003910EA">
                <w:rPr>
                  <w:b/>
                  <w:bCs/>
                  <w:noProof w:val="0"/>
                  <w:sz w:val="26"/>
                  <w:szCs w:val="26"/>
                  <w:rtl/>
                </w:rPr>
                <w:t>מ</w:t>
              </w:r>
              <w:r w:rsidR="003910EA">
                <w:rPr>
                  <w:rFonts w:hint="cs"/>
                  <w:b/>
                  <w:bCs/>
                  <w:noProof w:val="0"/>
                  <w:sz w:val="26"/>
                  <w:szCs w:val="26"/>
                  <w:rtl/>
                </w:rPr>
                <w:t>.</w:t>
              </w:r>
              <w:r w:rsidR="003910EA">
                <w:rPr>
                  <w:b/>
                  <w:bCs/>
                  <w:noProof w:val="0"/>
                  <w:sz w:val="26"/>
                  <w:szCs w:val="26"/>
                  <w:rtl/>
                </w:rPr>
                <w:t xml:space="preserve"> נ' ט</w:t>
              </w:r>
              <w:r w:rsidR="003910EA">
                <w:rPr>
                  <w:rFonts w:hint="cs"/>
                  <w:b/>
                  <w:bCs/>
                  <w:noProof w:val="0"/>
                  <w:sz w:val="26"/>
                  <w:szCs w:val="26"/>
                  <w:rtl/>
                </w:rPr>
                <w:t>.</w:t>
              </w:r>
            </w:sdtContent>
          </w:sdt>
        </w:p>
        <w:p w:rsidR="005D5781" w:rsidRDefault="00C86440">
          <w:pPr>
            <w:rPr>
              <w:b/>
              <w:bCs/>
              <w:rtl/>
            </w:rPr>
          </w:pPr>
        </w:p>
        <w:p w:rsidR="002914D6" w:rsidRDefault="00FB761E" w:rsidP="005D5781">
          <w:pPr>
            <w:spacing w:line="360" w:lineRule="auto"/>
            <w:rPr>
              <w:rtl/>
            </w:rPr>
          </w:pPr>
          <w:r w:rsidRPr="005D5781">
            <w:rPr>
              <w:rFonts w:hint="cs"/>
              <w:b/>
              <w:bCs/>
              <w:sz w:val="26"/>
              <w:szCs w:val="26"/>
              <w:u w:val="single"/>
              <w:rtl/>
            </w:rPr>
            <w:t>לפני כבוד השופט ארז שני</w:t>
          </w:r>
        </w:p>
      </w:tc>
    </w:tr>
  </w:tbl>
  <w:p w:rsidR="002914D6" w:rsidRDefault="00FB761E">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360D71"/>
    <w:multiLevelType w:val="hybridMultilevel"/>
    <w:tmpl w:val="C0F408D8"/>
    <w:lvl w:ilvl="0" w:tplc="16DC620A">
      <w:start w:val="1"/>
      <w:numFmt w:val="decimal"/>
      <w:lvlText w:val="%1."/>
      <w:lvlJc w:val="left"/>
      <w:pPr>
        <w:ind w:left="360" w:hanging="360"/>
      </w:pPr>
      <w:rPr>
        <w:b/>
        <w:b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15:restartNumberingAfterBreak="0">
    <w:nsid w:val="0CCA5356"/>
    <w:multiLevelType w:val="hybridMultilevel"/>
    <w:tmpl w:val="6D70EF66"/>
    <w:lvl w:ilvl="0" w:tplc="232E0DB6">
      <w:start w:val="44"/>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2" w15:restartNumberingAfterBreak="0">
    <w:nsid w:val="100A08DA"/>
    <w:multiLevelType w:val="hybridMultilevel"/>
    <w:tmpl w:val="90688226"/>
    <w:lvl w:ilvl="0" w:tplc="CB006EC0">
      <w:start w:val="1"/>
      <w:numFmt w:val="decimal"/>
      <w:lvlText w:val="%1."/>
      <w:lvlJc w:val="left"/>
      <w:pPr>
        <w:ind w:left="360" w:hanging="360"/>
      </w:pPr>
      <w:rPr>
        <w:b/>
        <w:bCs/>
        <w:i w:val="0"/>
        <w:iCs w:val="0"/>
        <w:lang w:bidi="he-I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66023E"/>
    <w:multiLevelType w:val="hybridMultilevel"/>
    <w:tmpl w:val="F546FF6E"/>
    <w:lvl w:ilvl="0" w:tplc="E18091C4">
      <w:start w:val="1"/>
      <w:numFmt w:val="hebrew1"/>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A27F67"/>
    <w:multiLevelType w:val="hybridMultilevel"/>
    <w:tmpl w:val="C05645C2"/>
    <w:lvl w:ilvl="0" w:tplc="CB006EC0">
      <w:start w:val="1"/>
      <w:numFmt w:val="decimal"/>
      <w:lvlText w:val="%1."/>
      <w:lvlJc w:val="left"/>
      <w:pPr>
        <w:ind w:left="360" w:hanging="360"/>
      </w:pPr>
      <w:rPr>
        <w:b/>
        <w:bCs/>
        <w:i w:val="0"/>
        <w:iCs w:val="0"/>
        <w:lang w:bidi="he-I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1A6C6B"/>
    <w:multiLevelType w:val="hybridMultilevel"/>
    <w:tmpl w:val="2BA24F1C"/>
    <w:lvl w:ilvl="0" w:tplc="70AA862E">
      <w:start w:val="1"/>
      <w:numFmt w:val="hebrew1"/>
      <w:lvlText w:val="%1."/>
      <w:lvlJc w:val="left"/>
      <w:pPr>
        <w:ind w:left="1143" w:hanging="435"/>
      </w:pPr>
      <w:rPr>
        <w:rFonts w:hint="default"/>
        <w:b w:val="0"/>
        <w:bCs/>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6" w15:restartNumberingAfterBreak="0">
    <w:nsid w:val="33852C11"/>
    <w:multiLevelType w:val="hybridMultilevel"/>
    <w:tmpl w:val="6DD4BAF6"/>
    <w:lvl w:ilvl="0" w:tplc="28EC42BC">
      <w:start w:val="1"/>
      <w:numFmt w:val="decimal"/>
      <w:lvlText w:val="%1."/>
      <w:lvlJc w:val="left"/>
      <w:pPr>
        <w:ind w:left="360" w:hanging="360"/>
      </w:pPr>
      <w:rPr>
        <w:rFonts w:ascii="David" w:hAnsi="David" w:cs="David" w:hint="default"/>
        <w:b/>
        <w:bCs/>
        <w:i w:val="0"/>
        <w:iCs w:val="0"/>
        <w:sz w:val="24"/>
        <w:szCs w:val="24"/>
        <w:lang w:bidi="he-IL"/>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60240B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99E2812"/>
    <w:multiLevelType w:val="hybridMultilevel"/>
    <w:tmpl w:val="5CE4FB62"/>
    <w:lvl w:ilvl="0" w:tplc="92067EAE">
      <w:numFmt w:val="bullet"/>
      <w:lvlText w:val=""/>
      <w:lvlJc w:val="left"/>
      <w:pPr>
        <w:ind w:left="720" w:hanging="360"/>
      </w:pPr>
      <w:rPr>
        <w:rFonts w:ascii="Symbol" w:eastAsia="Times New Roman" w:hAnsi="Symbol"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1DE20A2"/>
    <w:multiLevelType w:val="hybridMultilevel"/>
    <w:tmpl w:val="6684594A"/>
    <w:lvl w:ilvl="0" w:tplc="0409000F">
      <w:start w:val="1"/>
      <w:numFmt w:val="decimal"/>
      <w:lvlText w:val="%1."/>
      <w:lvlJc w:val="left"/>
      <w:pPr>
        <w:ind w:left="1892" w:hanging="360"/>
      </w:pPr>
    </w:lvl>
    <w:lvl w:ilvl="1" w:tplc="04090019">
      <w:start w:val="1"/>
      <w:numFmt w:val="lowerLetter"/>
      <w:lvlText w:val="%2."/>
      <w:lvlJc w:val="left"/>
      <w:pPr>
        <w:ind w:left="2612" w:hanging="360"/>
      </w:pPr>
      <w:rPr>
        <w:rFonts w:cs="Times New Roman"/>
      </w:rPr>
    </w:lvl>
    <w:lvl w:ilvl="2" w:tplc="0409001B">
      <w:start w:val="1"/>
      <w:numFmt w:val="lowerRoman"/>
      <w:lvlText w:val="%3."/>
      <w:lvlJc w:val="right"/>
      <w:pPr>
        <w:ind w:left="3332" w:hanging="180"/>
      </w:pPr>
      <w:rPr>
        <w:rFonts w:cs="Times New Roman"/>
      </w:rPr>
    </w:lvl>
    <w:lvl w:ilvl="3" w:tplc="0409000F">
      <w:start w:val="1"/>
      <w:numFmt w:val="decimal"/>
      <w:lvlText w:val="%4."/>
      <w:lvlJc w:val="left"/>
      <w:pPr>
        <w:ind w:left="4052" w:hanging="360"/>
      </w:pPr>
      <w:rPr>
        <w:rFonts w:cs="Times New Roman"/>
      </w:rPr>
    </w:lvl>
    <w:lvl w:ilvl="4" w:tplc="04090019">
      <w:start w:val="1"/>
      <w:numFmt w:val="lowerLetter"/>
      <w:lvlText w:val="%5."/>
      <w:lvlJc w:val="left"/>
      <w:pPr>
        <w:ind w:left="4772" w:hanging="360"/>
      </w:pPr>
      <w:rPr>
        <w:rFonts w:cs="Times New Roman"/>
      </w:rPr>
    </w:lvl>
    <w:lvl w:ilvl="5" w:tplc="0409001B">
      <w:start w:val="1"/>
      <w:numFmt w:val="lowerRoman"/>
      <w:lvlText w:val="%6."/>
      <w:lvlJc w:val="right"/>
      <w:pPr>
        <w:ind w:left="5492" w:hanging="180"/>
      </w:pPr>
      <w:rPr>
        <w:rFonts w:cs="Times New Roman"/>
      </w:rPr>
    </w:lvl>
    <w:lvl w:ilvl="6" w:tplc="0409000F">
      <w:start w:val="1"/>
      <w:numFmt w:val="decimal"/>
      <w:lvlText w:val="%7."/>
      <w:lvlJc w:val="left"/>
      <w:pPr>
        <w:ind w:left="6212" w:hanging="360"/>
      </w:pPr>
      <w:rPr>
        <w:rFonts w:cs="Times New Roman"/>
      </w:rPr>
    </w:lvl>
    <w:lvl w:ilvl="7" w:tplc="04090019">
      <w:start w:val="1"/>
      <w:numFmt w:val="lowerLetter"/>
      <w:lvlText w:val="%8."/>
      <w:lvlJc w:val="left"/>
      <w:pPr>
        <w:ind w:left="6932" w:hanging="360"/>
      </w:pPr>
      <w:rPr>
        <w:rFonts w:cs="Times New Roman"/>
      </w:rPr>
    </w:lvl>
    <w:lvl w:ilvl="8" w:tplc="0409001B">
      <w:start w:val="1"/>
      <w:numFmt w:val="lowerRoman"/>
      <w:lvlText w:val="%9."/>
      <w:lvlJc w:val="right"/>
      <w:pPr>
        <w:ind w:left="7652" w:hanging="180"/>
      </w:pPr>
      <w:rPr>
        <w:rFonts w:cs="Times New Roman"/>
      </w:rPr>
    </w:lvl>
  </w:abstractNum>
  <w:num w:numId="1">
    <w:abstractNumId w:val="6"/>
  </w:num>
  <w:num w:numId="2">
    <w:abstractNumId w:val="8"/>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0"/>
  </w:num>
  <w:num w:numId="7">
    <w:abstractNumId w:val="4"/>
  </w:num>
  <w:num w:numId="8">
    <w:abstractNumId w:val="2"/>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254E"/>
    <w:rsid w:val="000015D7"/>
    <w:rsid w:val="0013254E"/>
    <w:rsid w:val="003079DC"/>
    <w:rsid w:val="003910EA"/>
    <w:rsid w:val="005B3E5E"/>
    <w:rsid w:val="00666C2F"/>
    <w:rsid w:val="00922D94"/>
    <w:rsid w:val="00A12A63"/>
    <w:rsid w:val="00AE4052"/>
    <w:rsid w:val="00C86440"/>
    <w:rsid w:val="00F050FB"/>
    <w:rsid w:val="00FB761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18CB545-0F2B-4A22-83C7-2A5439E3C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254E"/>
    <w:pPr>
      <w:bidi/>
      <w:spacing w:after="0" w:line="240" w:lineRule="auto"/>
    </w:pPr>
    <w:rPr>
      <w:rFonts w:ascii="Times New Roman" w:eastAsia="Times New Roman" w:hAnsi="Times New Roman" w:cs="David"/>
      <w:noProof/>
      <w:sz w:val="24"/>
      <w:szCs w:val="24"/>
    </w:rPr>
  </w:style>
  <w:style w:type="paragraph" w:styleId="4">
    <w:name w:val="heading 4"/>
    <w:basedOn w:val="a"/>
    <w:next w:val="a"/>
    <w:link w:val="40"/>
    <w:qFormat/>
    <w:rsid w:val="0013254E"/>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כותרת 4 תו"/>
    <w:basedOn w:val="a0"/>
    <w:link w:val="4"/>
    <w:rsid w:val="0013254E"/>
    <w:rPr>
      <w:rFonts w:ascii="Times New Roman" w:eastAsia="Times New Roman" w:hAnsi="Times New Roman" w:cs="Narkisim"/>
      <w:b/>
      <w:bCs/>
      <w:noProof/>
      <w:sz w:val="24"/>
      <w:szCs w:val="24"/>
      <w14:shadow w14:blurRad="50800" w14:dist="38100" w14:dir="2700000" w14:sx="100000" w14:sy="100000" w14:kx="0" w14:ky="0" w14:algn="tl">
        <w14:srgbClr w14:val="000000">
          <w14:alpha w14:val="60000"/>
        </w14:srgbClr>
      </w14:shadow>
    </w:rPr>
  </w:style>
  <w:style w:type="paragraph" w:styleId="a3">
    <w:name w:val="header"/>
    <w:basedOn w:val="a"/>
    <w:link w:val="a4"/>
    <w:rsid w:val="0013254E"/>
    <w:pPr>
      <w:tabs>
        <w:tab w:val="center" w:pos="4153"/>
        <w:tab w:val="right" w:pos="8306"/>
      </w:tabs>
    </w:pPr>
  </w:style>
  <w:style w:type="character" w:customStyle="1" w:styleId="a4">
    <w:name w:val="כותרת עליונה תו"/>
    <w:basedOn w:val="a0"/>
    <w:link w:val="a3"/>
    <w:rsid w:val="0013254E"/>
    <w:rPr>
      <w:rFonts w:ascii="Times New Roman" w:eastAsia="Times New Roman" w:hAnsi="Times New Roman" w:cs="David"/>
      <w:noProof/>
      <w:sz w:val="24"/>
      <w:szCs w:val="24"/>
    </w:rPr>
  </w:style>
  <w:style w:type="paragraph" w:styleId="a5">
    <w:name w:val="footer"/>
    <w:basedOn w:val="a"/>
    <w:link w:val="a6"/>
    <w:rsid w:val="0013254E"/>
    <w:pPr>
      <w:tabs>
        <w:tab w:val="center" w:pos="4153"/>
        <w:tab w:val="right" w:pos="8306"/>
      </w:tabs>
    </w:pPr>
  </w:style>
  <w:style w:type="character" w:customStyle="1" w:styleId="a6">
    <w:name w:val="כותרת תחתונה תו"/>
    <w:basedOn w:val="a0"/>
    <w:link w:val="a5"/>
    <w:rsid w:val="0013254E"/>
    <w:rPr>
      <w:rFonts w:ascii="Times New Roman" w:eastAsia="Times New Roman" w:hAnsi="Times New Roman" w:cs="David"/>
      <w:noProof/>
      <w:sz w:val="24"/>
      <w:szCs w:val="24"/>
    </w:rPr>
  </w:style>
  <w:style w:type="paragraph" w:customStyle="1" w:styleId="a7">
    <w:name w:val="סעיפים"/>
    <w:basedOn w:val="a"/>
    <w:rsid w:val="0013254E"/>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8">
    <w:name w:val="annotation text"/>
    <w:basedOn w:val="a"/>
    <w:link w:val="a9"/>
    <w:semiHidden/>
    <w:rsid w:val="0013254E"/>
    <w:rPr>
      <w:rFonts w:cs="Times New Roman"/>
      <w:noProof w:val="0"/>
    </w:rPr>
  </w:style>
  <w:style w:type="character" w:customStyle="1" w:styleId="a9">
    <w:name w:val="טקסט הערה תו"/>
    <w:basedOn w:val="a0"/>
    <w:link w:val="a8"/>
    <w:semiHidden/>
    <w:rsid w:val="0013254E"/>
    <w:rPr>
      <w:rFonts w:ascii="Times New Roman" w:eastAsia="Times New Roman" w:hAnsi="Times New Roman" w:cs="Times New Roman"/>
      <w:sz w:val="24"/>
      <w:szCs w:val="24"/>
    </w:rPr>
  </w:style>
  <w:style w:type="character" w:styleId="aa">
    <w:name w:val="annotation reference"/>
    <w:basedOn w:val="a0"/>
    <w:semiHidden/>
    <w:rsid w:val="0013254E"/>
    <w:rPr>
      <w:sz w:val="16"/>
      <w:szCs w:val="16"/>
    </w:rPr>
  </w:style>
  <w:style w:type="paragraph" w:styleId="ab">
    <w:name w:val="Balloon Text"/>
    <w:basedOn w:val="a"/>
    <w:link w:val="ac"/>
    <w:semiHidden/>
    <w:rsid w:val="0013254E"/>
    <w:rPr>
      <w:rFonts w:ascii="Tahoma" w:hAnsi="Tahoma" w:cs="Tahoma"/>
      <w:sz w:val="16"/>
      <w:szCs w:val="16"/>
    </w:rPr>
  </w:style>
  <w:style w:type="character" w:customStyle="1" w:styleId="ac">
    <w:name w:val="טקסט בלונים תו"/>
    <w:basedOn w:val="a0"/>
    <w:link w:val="ab"/>
    <w:semiHidden/>
    <w:rsid w:val="0013254E"/>
    <w:rPr>
      <w:rFonts w:ascii="Tahoma" w:eastAsia="Times New Roman" w:hAnsi="Tahoma" w:cs="Tahoma"/>
      <w:noProof/>
      <w:sz w:val="16"/>
      <w:szCs w:val="16"/>
    </w:rPr>
  </w:style>
  <w:style w:type="table" w:styleId="ad">
    <w:name w:val="Table Grid"/>
    <w:basedOn w:val="a1"/>
    <w:rsid w:val="0013254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rsid w:val="0013254E"/>
  </w:style>
  <w:style w:type="character" w:styleId="af">
    <w:name w:val="page number"/>
    <w:basedOn w:val="a0"/>
    <w:rsid w:val="0013254E"/>
  </w:style>
  <w:style w:type="character" w:styleId="af0">
    <w:name w:val="Placeholder Text"/>
    <w:basedOn w:val="a0"/>
    <w:uiPriority w:val="99"/>
    <w:semiHidden/>
    <w:rsid w:val="0013254E"/>
    <w:rPr>
      <w:color w:val="808080"/>
    </w:rPr>
  </w:style>
  <w:style w:type="paragraph" w:styleId="af1">
    <w:name w:val="List Paragraph"/>
    <w:basedOn w:val="a"/>
    <w:uiPriority w:val="34"/>
    <w:qFormat/>
    <w:rsid w:val="0013254E"/>
    <w:pPr>
      <w:ind w:left="720"/>
      <w:contextualSpacing/>
    </w:pPr>
  </w:style>
  <w:style w:type="character" w:styleId="Hyperlink">
    <w:name w:val="Hyperlink"/>
    <w:basedOn w:val="a0"/>
    <w:uiPriority w:val="99"/>
    <w:semiHidden/>
    <w:unhideWhenUsed/>
    <w:rsid w:val="0013254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nevo.co.il/law/70325/15" TargetMode="External"/><Relationship Id="rId18" Type="http://schemas.openxmlformats.org/officeDocument/2006/relationships/hyperlink" Target="http://www.nevo.co.il/case/17918856" TargetMode="External"/><Relationship Id="rId26" Type="http://schemas.openxmlformats.org/officeDocument/2006/relationships/hyperlink" Target="http://www.nevo.co.il/law/73015/63.a" TargetMode="External"/><Relationship Id="rId39" Type="http://schemas.openxmlformats.org/officeDocument/2006/relationships/header" Target="header1.xml"/><Relationship Id="rId21" Type="http://schemas.openxmlformats.org/officeDocument/2006/relationships/hyperlink" Target="http://www.nevo.co.il/law/74901/35" TargetMode="External"/><Relationship Id="rId34" Type="http://schemas.openxmlformats.org/officeDocument/2006/relationships/hyperlink" Target="http://www.nevo.co.il/case/5807104" TargetMode="External"/><Relationship Id="rId42" Type="http://schemas.openxmlformats.org/officeDocument/2006/relationships/glossaryDocument" Target="glossary/document.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nevo.co.il/case/17927850" TargetMode="External"/><Relationship Id="rId20" Type="http://schemas.openxmlformats.org/officeDocument/2006/relationships/hyperlink" Target="http://www.nevo.co.il/law/70301" TargetMode="External"/><Relationship Id="rId29" Type="http://schemas.openxmlformats.org/officeDocument/2006/relationships/hyperlink" Target="http://www.nevo.co.il/case/5710735"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nevo.co.il/case/5710735" TargetMode="External"/><Relationship Id="rId32" Type="http://schemas.openxmlformats.org/officeDocument/2006/relationships/hyperlink" Target="http://www.nevo.co.il/case/18114782" TargetMode="External"/><Relationship Id="rId37" Type="http://schemas.openxmlformats.org/officeDocument/2006/relationships/hyperlink" Target="http://www.nevo.co.il/law_html/law01/142_002.htm" TargetMode="External"/><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nevo.co.il/case/5870716" TargetMode="External"/><Relationship Id="rId23" Type="http://schemas.openxmlformats.org/officeDocument/2006/relationships/hyperlink" Target="http://www.nevo.co.il/case/3872925" TargetMode="External"/><Relationship Id="rId28" Type="http://schemas.openxmlformats.org/officeDocument/2006/relationships/hyperlink" Target="http://www.nevo.co.il/case/5731884" TargetMode="External"/><Relationship Id="rId36" Type="http://schemas.openxmlformats.org/officeDocument/2006/relationships/hyperlink" Target="http://www.nevo.co.il/links/psika/?link=%D7%AA%D7%9E%D7%A9%2024760/08" TargetMode="External"/><Relationship Id="rId10" Type="http://schemas.openxmlformats.org/officeDocument/2006/relationships/image" Target="media/image4.png"/><Relationship Id="rId19" Type="http://schemas.openxmlformats.org/officeDocument/2006/relationships/hyperlink" Target="http://www.nevo.co.il/law/70301/287" TargetMode="External"/><Relationship Id="rId31" Type="http://schemas.openxmlformats.org/officeDocument/2006/relationships/hyperlink" Target="http://www.nevo.co.il/case/2488790"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nevo.co.il/law/70325" TargetMode="External"/><Relationship Id="rId22" Type="http://schemas.openxmlformats.org/officeDocument/2006/relationships/hyperlink" Target="http://www.nevo.co.il/law/73015" TargetMode="External"/><Relationship Id="rId27" Type="http://schemas.openxmlformats.org/officeDocument/2006/relationships/hyperlink" Target="http://www.nevo.co.il/law/73015" TargetMode="External"/><Relationship Id="rId30" Type="http://schemas.openxmlformats.org/officeDocument/2006/relationships/hyperlink" Target="http://www.nevo.co.il/case/2258233" TargetMode="External"/><Relationship Id="rId35" Type="http://schemas.openxmlformats.org/officeDocument/2006/relationships/hyperlink" Target="http://www.nevo.co.il/links/psika/?link=%D7%A2%D7%90%205258/98" TargetMode="External"/><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www.nevo.co.il/case/5870716" TargetMode="External"/><Relationship Id="rId25" Type="http://schemas.openxmlformats.org/officeDocument/2006/relationships/hyperlink" Target="http://www.nevo.co.il/case/2488790" TargetMode="External"/><Relationship Id="rId33" Type="http://schemas.openxmlformats.org/officeDocument/2006/relationships/hyperlink" Target="http://www.nevo.co.il/case/17939706" TargetMode="External"/><Relationship Id="rId38"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74602D278F64E5C92AAD4E545A57B80"/>
        <w:category>
          <w:name w:val="כללי"/>
          <w:gallery w:val="placeholder"/>
        </w:category>
        <w:types>
          <w:type w:val="bbPlcHdr"/>
        </w:types>
        <w:behaviors>
          <w:behavior w:val="content"/>
        </w:behaviors>
        <w:guid w:val="{EB36840F-800B-477B-898B-2C23F0A25B22}"/>
      </w:docPartPr>
      <w:docPartBody>
        <w:p w:rsidR="008700DD" w:rsidRDefault="00026B3C" w:rsidP="00026B3C">
          <w:pPr>
            <w:pStyle w:val="674602D278F64E5C92AAD4E545A57B80"/>
          </w:pPr>
          <w:r>
            <w:rPr>
              <w:rStyle w:val="a3"/>
              <w:rtl/>
            </w:rPr>
            <w:t>תאור קבוצת שייכות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Miriam">
    <w:panose1 w:val="020B0502050101010101"/>
    <w:charset w:val="00"/>
    <w:family w:val="swiss"/>
    <w:pitch w:val="variable"/>
    <w:sig w:usb0="00000803" w:usb1="00000000" w:usb2="00000000" w:usb3="00000000" w:csb0="00000021" w:csb1="00000000"/>
  </w:font>
  <w:font w:name="FrankRuehl">
    <w:panose1 w:val="020E0503060101010101"/>
    <w:charset w:val="00"/>
    <w:family w:val="swiss"/>
    <w:pitch w:val="variable"/>
    <w:sig w:usb0="00000803" w:usb1="00000000" w:usb2="00000000" w:usb3="00000000" w:csb0="0000002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6B3C"/>
    <w:rsid w:val="00026B3C"/>
    <w:rsid w:val="00505FB0"/>
    <w:rsid w:val="006A7AA4"/>
    <w:rsid w:val="008700DD"/>
    <w:rsid w:val="00BA1B62"/>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26B3C"/>
    <w:rPr>
      <w:color w:val="808080"/>
    </w:rPr>
  </w:style>
  <w:style w:type="paragraph" w:customStyle="1" w:styleId="674602D278F64E5C92AAD4E545A57B80">
    <w:name w:val="674602D278F64E5C92AAD4E545A57B80"/>
    <w:rsid w:val="00026B3C"/>
    <w:pPr>
      <w:bidi/>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31</Pages>
  <Words>7874</Words>
  <Characters>39374</Characters>
  <Application>Microsoft Office Word</Application>
  <DocSecurity>0</DocSecurity>
  <Lines>328</Lines>
  <Paragraphs>94</Paragraphs>
  <ScaleCrop>false</ScaleCrop>
  <HeadingPairs>
    <vt:vector size="2" baseType="variant">
      <vt:variant>
        <vt:lpstr>שם</vt:lpstr>
      </vt:variant>
      <vt:variant>
        <vt:i4>1</vt:i4>
      </vt:variant>
    </vt:vector>
  </HeadingPairs>
  <TitlesOfParts>
    <vt:vector size="1" baseType="lpstr">
      <vt:lpstr/>
    </vt:vector>
  </TitlesOfParts>
  <Company/>
  <LinksUpToDate>false</LinksUpToDate>
  <CharactersWithSpaces>47154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דלית קוכמן</dc:creator>
  <cp:keywords/>
  <dc:description/>
  <cp:lastModifiedBy>אסתר טטרואשוילי</cp:lastModifiedBy>
  <cp:revision>2</cp:revision>
  <dcterms:created xsi:type="dcterms:W3CDTF">2023-04-13T12:03:00Z</dcterms:created>
  <dcterms:modified xsi:type="dcterms:W3CDTF">2023-04-13T12:03:00Z</dcterms:modified>
</cp:coreProperties>
</file>